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4A0" w:firstRow="1" w:lastRow="0" w:firstColumn="1" w:lastColumn="0" w:noHBand="0" w:noVBand="1"/>
      </w:tblPr>
      <w:tblGrid>
        <w:gridCol w:w="889"/>
        <w:gridCol w:w="3781"/>
        <w:gridCol w:w="4652"/>
      </w:tblGrid>
      <w:tr w:rsidR="008F5C9E" w:rsidRPr="0019203B" w14:paraId="1FEA08A0" w14:textId="77777777" w:rsidTr="00087F88">
        <w:tc>
          <w:tcPr>
            <w:tcW w:w="4670" w:type="dxa"/>
            <w:gridSpan w:val="2"/>
            <w:vAlign w:val="center"/>
          </w:tcPr>
          <w:p w14:paraId="64722BF3" w14:textId="77777777" w:rsidR="008F5C9E" w:rsidRDefault="0011078F" w:rsidP="00155FA0">
            <w:pPr>
              <w:pStyle w:val="p1"/>
              <w:tabs>
                <w:tab w:val="clear" w:pos="720"/>
              </w:tabs>
              <w:jc w:val="center"/>
              <w:outlineLvl w:val="0"/>
              <w:rPr>
                <w:rFonts w:ascii="Arial" w:hAnsi="Arial" w:cs="Arial"/>
                <w:b/>
                <w:color w:val="808080"/>
                <w:sz w:val="52"/>
                <w:szCs w:val="56"/>
              </w:rPr>
            </w:pPr>
            <w:r>
              <w:rPr>
                <w:rFonts w:ascii="Arial" w:hAnsi="Arial" w:cs="Arial"/>
                <w:b/>
                <w:color w:val="808080"/>
                <w:sz w:val="52"/>
                <w:szCs w:val="56"/>
              </w:rPr>
              <w:t>Neighbourhood Services</w:t>
            </w:r>
          </w:p>
          <w:p w14:paraId="0B0CF9D3" w14:textId="77777777" w:rsidR="0011078F" w:rsidRPr="0011078F" w:rsidRDefault="0011078F" w:rsidP="00155FA0">
            <w:pPr>
              <w:pStyle w:val="p1"/>
              <w:tabs>
                <w:tab w:val="clear" w:pos="720"/>
              </w:tabs>
              <w:jc w:val="center"/>
              <w:outlineLvl w:val="0"/>
              <w:rPr>
                <w:rFonts w:ascii="Arial" w:hAnsi="Arial" w:cs="Arial"/>
                <w:b/>
                <w:color w:val="404040" w:themeColor="text1" w:themeTint="BF"/>
                <w:sz w:val="48"/>
                <w:szCs w:val="56"/>
              </w:rPr>
            </w:pPr>
            <w:r w:rsidRPr="0011078F">
              <w:rPr>
                <w:rFonts w:ascii="Arial" w:hAnsi="Arial" w:cs="Arial"/>
                <w:b/>
                <w:color w:val="404040" w:themeColor="text1" w:themeTint="BF"/>
                <w:sz w:val="48"/>
                <w:szCs w:val="56"/>
              </w:rPr>
              <w:t>Policies &amp; Procedures</w:t>
            </w:r>
          </w:p>
          <w:p w14:paraId="0BD8C063" w14:textId="77777777" w:rsidR="008F5C9E" w:rsidRPr="0019203B" w:rsidRDefault="008F5C9E" w:rsidP="00155FA0">
            <w:pPr>
              <w:pStyle w:val="p1"/>
              <w:tabs>
                <w:tab w:val="clear" w:pos="720"/>
              </w:tabs>
              <w:jc w:val="center"/>
              <w:outlineLvl w:val="0"/>
              <w:rPr>
                <w:rFonts w:ascii="Arial" w:hAnsi="Arial" w:cs="Arial"/>
                <w:b/>
                <w:sz w:val="40"/>
                <w:szCs w:val="40"/>
              </w:rPr>
            </w:pPr>
          </w:p>
        </w:tc>
        <w:tc>
          <w:tcPr>
            <w:tcW w:w="4652" w:type="dxa"/>
            <w:vAlign w:val="center"/>
          </w:tcPr>
          <w:p w14:paraId="15595A4D" w14:textId="77777777" w:rsidR="008F5C9E" w:rsidRPr="0019203B" w:rsidRDefault="0011078F" w:rsidP="00155FA0">
            <w:pPr>
              <w:pStyle w:val="p1"/>
              <w:tabs>
                <w:tab w:val="clear" w:pos="720"/>
              </w:tabs>
              <w:jc w:val="center"/>
              <w:outlineLvl w:val="0"/>
              <w:rPr>
                <w:rFonts w:ascii="Arial" w:hAnsi="Arial" w:cs="Arial"/>
                <w:color w:val="808080"/>
                <w:sz w:val="40"/>
                <w:szCs w:val="40"/>
              </w:rPr>
            </w:pPr>
            <w:r w:rsidRPr="008F0AB7">
              <w:rPr>
                <w:rFonts w:ascii="Arial" w:hAnsi="Arial" w:cs="Arial"/>
                <w:noProof/>
                <w:color w:val="808080"/>
                <w:sz w:val="40"/>
                <w:szCs w:val="40"/>
              </w:rPr>
              <w:drawing>
                <wp:anchor distT="0" distB="0" distL="114300" distR="114300" simplePos="0" relativeHeight="251658752" behindDoc="1" locked="0" layoutInCell="1" allowOverlap="1" wp14:anchorId="2AC225EC" wp14:editId="1F5F7168">
                  <wp:simplePos x="0" y="0"/>
                  <wp:positionH relativeFrom="column">
                    <wp:posOffset>1532255</wp:posOffset>
                  </wp:positionH>
                  <wp:positionV relativeFrom="paragraph">
                    <wp:posOffset>-226060</wp:posOffset>
                  </wp:positionV>
                  <wp:extent cx="1352550" cy="1607820"/>
                  <wp:effectExtent l="0" t="0" r="0" b="0"/>
                  <wp:wrapThrough wrapText="bothSides">
                    <wp:wrapPolygon edited="0">
                      <wp:start x="0" y="0"/>
                      <wp:lineTo x="0" y="21242"/>
                      <wp:lineTo x="21296" y="21242"/>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portrait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607820"/>
                          </a:xfrm>
                          <a:prstGeom prst="rect">
                            <a:avLst/>
                          </a:prstGeom>
                        </pic:spPr>
                      </pic:pic>
                    </a:graphicData>
                  </a:graphic>
                  <wp14:sizeRelH relativeFrom="page">
                    <wp14:pctWidth>0</wp14:pctWidth>
                  </wp14:sizeRelH>
                  <wp14:sizeRelV relativeFrom="page">
                    <wp14:pctHeight>0</wp14:pctHeight>
                  </wp14:sizeRelV>
                </wp:anchor>
              </w:drawing>
            </w:r>
          </w:p>
        </w:tc>
      </w:tr>
      <w:tr w:rsidR="0011078F" w:rsidRPr="0011078F" w14:paraId="70A59C6F" w14:textId="77777777" w:rsidTr="00517ECB">
        <w:tc>
          <w:tcPr>
            <w:tcW w:w="9322" w:type="dxa"/>
            <w:gridSpan w:val="3"/>
            <w:tcBorders>
              <w:bottom w:val="single" w:sz="4" w:space="0" w:color="auto"/>
            </w:tcBorders>
            <w:vAlign w:val="center"/>
          </w:tcPr>
          <w:p w14:paraId="7059B4FE" w14:textId="77777777" w:rsidR="00E160D0" w:rsidRPr="0011078F" w:rsidRDefault="00E160D0" w:rsidP="00155FA0">
            <w:pPr>
              <w:pStyle w:val="p1"/>
              <w:tabs>
                <w:tab w:val="clear" w:pos="720"/>
              </w:tabs>
              <w:jc w:val="center"/>
              <w:outlineLvl w:val="0"/>
              <w:rPr>
                <w:rFonts w:ascii="Arial" w:hAnsi="Arial" w:cs="Arial"/>
                <w:color w:val="7030A0"/>
                <w:sz w:val="32"/>
                <w:szCs w:val="32"/>
              </w:rPr>
            </w:pPr>
          </w:p>
          <w:p w14:paraId="3C81706E" w14:textId="77777777" w:rsidR="00E160D0" w:rsidRPr="0011078F" w:rsidRDefault="008B466F" w:rsidP="00155FA0">
            <w:pPr>
              <w:pStyle w:val="p1"/>
              <w:tabs>
                <w:tab w:val="clear" w:pos="720"/>
              </w:tabs>
              <w:jc w:val="center"/>
              <w:rPr>
                <w:rFonts w:ascii="Arial" w:hAnsi="Arial" w:cs="Arial"/>
                <w:color w:val="7030A0"/>
                <w:sz w:val="28"/>
                <w:szCs w:val="32"/>
              </w:rPr>
            </w:pPr>
            <w:r w:rsidRPr="0011078F">
              <w:rPr>
                <w:rFonts w:ascii="Arial" w:hAnsi="Arial" w:cs="Arial"/>
                <w:b/>
                <w:color w:val="7030A0"/>
                <w:sz w:val="56"/>
                <w:szCs w:val="72"/>
              </w:rPr>
              <w:t>Housing Panel Guidance Notes</w:t>
            </w:r>
          </w:p>
          <w:p w14:paraId="4CC3050D" w14:textId="77777777" w:rsidR="00E160D0" w:rsidRPr="0011078F" w:rsidRDefault="00E160D0" w:rsidP="00155FA0">
            <w:pPr>
              <w:pStyle w:val="p1"/>
              <w:tabs>
                <w:tab w:val="clear" w:pos="720"/>
              </w:tabs>
              <w:jc w:val="center"/>
              <w:rPr>
                <w:rFonts w:ascii="Arial" w:hAnsi="Arial" w:cs="Arial"/>
                <w:color w:val="7030A0"/>
                <w:sz w:val="32"/>
                <w:szCs w:val="32"/>
              </w:rPr>
            </w:pPr>
          </w:p>
        </w:tc>
      </w:tr>
      <w:tr w:rsidR="00867FEF" w:rsidRPr="004D512B" w14:paraId="58BBFC3E"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7030A0"/>
          </w:tcPr>
          <w:p w14:paraId="1C6F50ED" w14:textId="77777777" w:rsidR="00867FEF" w:rsidRPr="004D512B" w:rsidRDefault="00675D62" w:rsidP="00155FA0">
            <w:pPr>
              <w:spacing w:after="0" w:line="240" w:lineRule="auto"/>
              <w:jc w:val="both"/>
              <w:rPr>
                <w:rFonts w:cs="Arial"/>
                <w:b/>
                <w:color w:val="FFFFFF"/>
                <w:sz w:val="24"/>
                <w:szCs w:val="24"/>
              </w:rPr>
            </w:pPr>
            <w:r>
              <w:rPr>
                <w:rFonts w:cs="Arial"/>
                <w:b/>
                <w:color w:val="FFFFFF"/>
                <w:sz w:val="24"/>
                <w:szCs w:val="24"/>
              </w:rPr>
              <w:t>1.</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75805EA6" w14:textId="77777777" w:rsidR="00867FEF" w:rsidRPr="004D512B" w:rsidRDefault="00CB4B92" w:rsidP="00750199">
            <w:pPr>
              <w:spacing w:after="0" w:line="240" w:lineRule="auto"/>
              <w:jc w:val="both"/>
              <w:rPr>
                <w:rFonts w:cs="Arial"/>
                <w:b/>
                <w:color w:val="FFFFFF"/>
                <w:sz w:val="24"/>
                <w:szCs w:val="24"/>
              </w:rPr>
            </w:pPr>
            <w:r>
              <w:rPr>
                <w:rFonts w:cs="Arial"/>
                <w:b/>
                <w:color w:val="FFFFFF"/>
                <w:sz w:val="24"/>
                <w:szCs w:val="24"/>
              </w:rPr>
              <w:t>P</w:t>
            </w:r>
            <w:r w:rsidR="00750199">
              <w:rPr>
                <w:rFonts w:cs="Arial"/>
                <w:b/>
                <w:color w:val="FFFFFF"/>
                <w:sz w:val="24"/>
                <w:szCs w:val="24"/>
              </w:rPr>
              <w:t xml:space="preserve">urpose </w:t>
            </w:r>
          </w:p>
        </w:tc>
      </w:tr>
      <w:tr w:rsidR="00867FEF" w:rsidRPr="004D512B" w14:paraId="3D597A98" w14:textId="77777777" w:rsidTr="00087F88">
        <w:tc>
          <w:tcPr>
            <w:tcW w:w="889" w:type="dxa"/>
            <w:tcBorders>
              <w:top w:val="single" w:sz="4" w:space="0" w:color="auto"/>
              <w:left w:val="single" w:sz="4" w:space="0" w:color="auto"/>
              <w:bottom w:val="single" w:sz="4" w:space="0" w:color="auto"/>
              <w:right w:val="single" w:sz="4" w:space="0" w:color="auto"/>
            </w:tcBorders>
          </w:tcPr>
          <w:p w14:paraId="3EC8ACC4" w14:textId="77777777" w:rsidR="00867FEF" w:rsidRDefault="0011078F" w:rsidP="00155FA0">
            <w:pPr>
              <w:spacing w:after="0" w:line="240" w:lineRule="auto"/>
              <w:jc w:val="both"/>
              <w:rPr>
                <w:rFonts w:cs="Arial"/>
                <w:szCs w:val="24"/>
              </w:rPr>
            </w:pPr>
            <w:r>
              <w:rPr>
                <w:rFonts w:cs="Arial"/>
                <w:szCs w:val="24"/>
              </w:rPr>
              <w:t>1.1</w:t>
            </w:r>
          </w:p>
          <w:p w14:paraId="3398B7AA" w14:textId="77777777" w:rsidR="00545778" w:rsidRDefault="00545778" w:rsidP="00155FA0">
            <w:pPr>
              <w:spacing w:after="0" w:line="240" w:lineRule="auto"/>
              <w:jc w:val="both"/>
              <w:rPr>
                <w:rFonts w:cs="Arial"/>
                <w:szCs w:val="24"/>
              </w:rPr>
            </w:pPr>
          </w:p>
          <w:p w14:paraId="04CAD425" w14:textId="77777777" w:rsidR="00545778" w:rsidRDefault="00545778" w:rsidP="00155FA0">
            <w:pPr>
              <w:spacing w:after="0" w:line="240" w:lineRule="auto"/>
              <w:jc w:val="both"/>
              <w:rPr>
                <w:rFonts w:cs="Arial"/>
                <w:szCs w:val="24"/>
              </w:rPr>
            </w:pPr>
          </w:p>
          <w:p w14:paraId="74394BAE" w14:textId="77777777" w:rsidR="00545778" w:rsidRDefault="00545778" w:rsidP="00155FA0">
            <w:pPr>
              <w:spacing w:after="0" w:line="240" w:lineRule="auto"/>
              <w:jc w:val="both"/>
              <w:rPr>
                <w:rFonts w:cs="Arial"/>
                <w:szCs w:val="24"/>
              </w:rPr>
            </w:pPr>
          </w:p>
          <w:p w14:paraId="551953E9" w14:textId="77777777" w:rsidR="00545778" w:rsidRDefault="00545778" w:rsidP="00155FA0">
            <w:pPr>
              <w:spacing w:after="0" w:line="240" w:lineRule="auto"/>
              <w:jc w:val="both"/>
              <w:rPr>
                <w:rFonts w:cs="Arial"/>
                <w:szCs w:val="24"/>
              </w:rPr>
            </w:pPr>
            <w:r>
              <w:rPr>
                <w:rFonts w:cs="Arial"/>
                <w:szCs w:val="24"/>
              </w:rPr>
              <w:t>1.2</w:t>
            </w:r>
          </w:p>
          <w:p w14:paraId="47B4FBAB" w14:textId="77777777" w:rsidR="00F85E0D" w:rsidRDefault="00F85E0D" w:rsidP="00155FA0">
            <w:pPr>
              <w:spacing w:after="0" w:line="240" w:lineRule="auto"/>
              <w:jc w:val="both"/>
              <w:rPr>
                <w:rFonts w:cs="Arial"/>
                <w:szCs w:val="24"/>
              </w:rPr>
            </w:pPr>
          </w:p>
          <w:p w14:paraId="0527A9CA" w14:textId="77777777" w:rsidR="00F85E0D" w:rsidRPr="007A25D1" w:rsidRDefault="00F85E0D" w:rsidP="00155FA0">
            <w:pPr>
              <w:spacing w:after="0" w:line="240" w:lineRule="auto"/>
              <w:jc w:val="both"/>
              <w:rPr>
                <w:rFonts w:cs="Arial"/>
                <w:szCs w:val="24"/>
              </w:rPr>
            </w:pPr>
          </w:p>
        </w:tc>
        <w:tc>
          <w:tcPr>
            <w:tcW w:w="8433" w:type="dxa"/>
            <w:gridSpan w:val="2"/>
            <w:tcBorders>
              <w:top w:val="single" w:sz="4" w:space="0" w:color="auto"/>
              <w:left w:val="single" w:sz="4" w:space="0" w:color="auto"/>
              <w:bottom w:val="single" w:sz="4" w:space="0" w:color="auto"/>
              <w:right w:val="single" w:sz="4" w:space="0" w:color="auto"/>
            </w:tcBorders>
          </w:tcPr>
          <w:p w14:paraId="5DA9559D" w14:textId="79D695AE" w:rsidR="00EB546A" w:rsidRDefault="00044DBD" w:rsidP="00155FA0">
            <w:pPr>
              <w:spacing w:after="0" w:line="240" w:lineRule="auto"/>
              <w:jc w:val="both"/>
              <w:rPr>
                <w:rFonts w:cs="Arial"/>
                <w:szCs w:val="24"/>
              </w:rPr>
            </w:pPr>
            <w:r>
              <w:rPr>
                <w:rFonts w:cs="Arial"/>
                <w:szCs w:val="24"/>
              </w:rPr>
              <w:t>The purpose of th</w:t>
            </w:r>
            <w:r w:rsidR="00EB546A">
              <w:rPr>
                <w:rFonts w:cs="Arial"/>
                <w:szCs w:val="24"/>
              </w:rPr>
              <w:t xml:space="preserve">ese Notes </w:t>
            </w:r>
            <w:r>
              <w:rPr>
                <w:rFonts w:cs="Arial"/>
                <w:szCs w:val="24"/>
              </w:rPr>
              <w:t xml:space="preserve">is to outline the circumstances </w:t>
            </w:r>
            <w:r w:rsidR="00696210">
              <w:rPr>
                <w:rFonts w:cs="Arial"/>
                <w:szCs w:val="24"/>
              </w:rPr>
              <w:t xml:space="preserve">in which </w:t>
            </w:r>
            <w:r w:rsidR="0011078F">
              <w:rPr>
                <w:rFonts w:cs="Arial"/>
                <w:szCs w:val="24"/>
              </w:rPr>
              <w:t>Watford Community Housing (WCH</w:t>
            </w:r>
            <w:r w:rsidR="00D27F9C">
              <w:rPr>
                <w:rFonts w:cs="Arial"/>
                <w:szCs w:val="24"/>
              </w:rPr>
              <w:t xml:space="preserve">) </w:t>
            </w:r>
            <w:r w:rsidR="00696210">
              <w:rPr>
                <w:rFonts w:cs="Arial"/>
                <w:szCs w:val="24"/>
              </w:rPr>
              <w:t xml:space="preserve">may </w:t>
            </w:r>
            <w:r w:rsidR="00D27F9C">
              <w:rPr>
                <w:rFonts w:cs="Arial"/>
                <w:szCs w:val="24"/>
              </w:rPr>
              <w:t>make</w:t>
            </w:r>
            <w:r>
              <w:rPr>
                <w:rFonts w:cs="Arial"/>
                <w:szCs w:val="24"/>
              </w:rPr>
              <w:t xml:space="preserve"> </w:t>
            </w:r>
            <w:r w:rsidR="00696210">
              <w:rPr>
                <w:rFonts w:cs="Arial"/>
                <w:szCs w:val="24"/>
              </w:rPr>
              <w:t>a “</w:t>
            </w:r>
            <w:r>
              <w:rPr>
                <w:rFonts w:cs="Arial"/>
                <w:szCs w:val="24"/>
              </w:rPr>
              <w:t>direct offer</w:t>
            </w:r>
            <w:r w:rsidR="00696210">
              <w:rPr>
                <w:rFonts w:cs="Arial"/>
                <w:szCs w:val="24"/>
              </w:rPr>
              <w:t>”</w:t>
            </w:r>
            <w:r>
              <w:rPr>
                <w:rFonts w:cs="Arial"/>
                <w:szCs w:val="24"/>
              </w:rPr>
              <w:t xml:space="preserve"> of accommodation to </w:t>
            </w:r>
            <w:r w:rsidR="00696210">
              <w:rPr>
                <w:rFonts w:cs="Arial"/>
                <w:szCs w:val="24"/>
              </w:rPr>
              <w:t xml:space="preserve">existing </w:t>
            </w:r>
            <w:r w:rsidR="007348C9">
              <w:rPr>
                <w:rFonts w:cs="Arial"/>
                <w:szCs w:val="24"/>
              </w:rPr>
              <w:t>customer</w:t>
            </w:r>
            <w:r>
              <w:rPr>
                <w:rFonts w:cs="Arial"/>
                <w:szCs w:val="24"/>
              </w:rPr>
              <w:t>s</w:t>
            </w:r>
            <w:r w:rsidR="00696210">
              <w:rPr>
                <w:rFonts w:cs="Arial"/>
                <w:szCs w:val="24"/>
              </w:rPr>
              <w:t xml:space="preserve"> </w:t>
            </w:r>
            <w:proofErr w:type="spellStart"/>
            <w:r w:rsidR="00696210">
              <w:rPr>
                <w:rFonts w:cs="Arial"/>
                <w:szCs w:val="24"/>
              </w:rPr>
              <w:t>ie</w:t>
            </w:r>
            <w:proofErr w:type="spellEnd"/>
            <w:r w:rsidR="00696210">
              <w:rPr>
                <w:rFonts w:cs="Arial"/>
                <w:szCs w:val="24"/>
              </w:rPr>
              <w:t xml:space="preserve"> other </w:t>
            </w:r>
            <w:r w:rsidR="00EB546A">
              <w:rPr>
                <w:rFonts w:cs="Arial"/>
                <w:szCs w:val="24"/>
              </w:rPr>
              <w:t xml:space="preserve">than </w:t>
            </w:r>
            <w:r w:rsidR="00696210">
              <w:rPr>
                <w:rFonts w:cs="Arial"/>
                <w:szCs w:val="24"/>
              </w:rPr>
              <w:t xml:space="preserve">by way of allocation </w:t>
            </w:r>
            <w:r w:rsidR="00EB546A">
              <w:rPr>
                <w:rFonts w:cs="Arial"/>
                <w:szCs w:val="24"/>
              </w:rPr>
              <w:t xml:space="preserve">via a local authority </w:t>
            </w:r>
            <w:r w:rsidR="001D5D5C">
              <w:rPr>
                <w:rFonts w:cs="Arial"/>
                <w:szCs w:val="24"/>
              </w:rPr>
              <w:t xml:space="preserve">housing register.  </w:t>
            </w:r>
          </w:p>
          <w:p w14:paraId="444660D2" w14:textId="77777777" w:rsidR="001D5D5C" w:rsidRDefault="001D5D5C" w:rsidP="00155FA0">
            <w:pPr>
              <w:spacing w:after="0" w:line="240" w:lineRule="auto"/>
              <w:jc w:val="both"/>
              <w:rPr>
                <w:rFonts w:cs="Arial"/>
                <w:szCs w:val="24"/>
              </w:rPr>
            </w:pPr>
          </w:p>
          <w:p w14:paraId="5AFD2AA2" w14:textId="77777777" w:rsidR="004717E1" w:rsidRPr="007A25D1" w:rsidRDefault="001D5D5C" w:rsidP="00CB73DC">
            <w:pPr>
              <w:spacing w:after="0" w:line="240" w:lineRule="auto"/>
              <w:jc w:val="both"/>
              <w:rPr>
                <w:rFonts w:cs="Arial"/>
                <w:szCs w:val="24"/>
              </w:rPr>
            </w:pPr>
            <w:r>
              <w:rPr>
                <w:rFonts w:cs="Arial"/>
                <w:szCs w:val="24"/>
              </w:rPr>
              <w:t>These Notes should be considered in conjunction with the Access to Housing Policy &amp; Procedure and will therefore refer to this Policy &amp; Procedure throughout.</w:t>
            </w:r>
            <w:r w:rsidR="00CB73DC">
              <w:rPr>
                <w:rFonts w:cs="Arial"/>
                <w:szCs w:val="24"/>
              </w:rPr>
              <w:t xml:space="preserve"> </w:t>
            </w:r>
          </w:p>
        </w:tc>
      </w:tr>
      <w:tr w:rsidR="00867FEF" w:rsidRPr="004D512B" w14:paraId="1E0161BE"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7030A0"/>
          </w:tcPr>
          <w:p w14:paraId="2CC0E8B8" w14:textId="77777777" w:rsidR="00867FEF" w:rsidRPr="004D512B" w:rsidRDefault="00675D62" w:rsidP="00155FA0">
            <w:pPr>
              <w:spacing w:after="0" w:line="240" w:lineRule="auto"/>
              <w:jc w:val="both"/>
              <w:rPr>
                <w:rFonts w:cs="Arial"/>
                <w:b/>
                <w:color w:val="FFFFFF"/>
                <w:sz w:val="24"/>
                <w:szCs w:val="24"/>
              </w:rPr>
            </w:pPr>
            <w:r>
              <w:rPr>
                <w:rFonts w:cs="Arial"/>
                <w:b/>
                <w:color w:val="FFFFFF"/>
                <w:sz w:val="24"/>
                <w:szCs w:val="24"/>
              </w:rPr>
              <w:t>2.</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7FACA9F7" w14:textId="77777777" w:rsidR="00867FEF" w:rsidRPr="004D512B" w:rsidRDefault="00CB4B92" w:rsidP="00155FA0">
            <w:pPr>
              <w:spacing w:after="0" w:line="240" w:lineRule="auto"/>
              <w:jc w:val="both"/>
              <w:rPr>
                <w:rFonts w:cs="Arial"/>
                <w:b/>
                <w:color w:val="FFFFFF"/>
                <w:sz w:val="24"/>
                <w:szCs w:val="24"/>
              </w:rPr>
            </w:pPr>
            <w:r>
              <w:rPr>
                <w:rFonts w:cs="Arial"/>
                <w:b/>
                <w:color w:val="FFFFFF"/>
                <w:sz w:val="24"/>
                <w:szCs w:val="24"/>
              </w:rPr>
              <w:t>Legislative &amp; regulatory requirement</w:t>
            </w:r>
            <w:r w:rsidR="00750199">
              <w:rPr>
                <w:rFonts w:cs="Arial"/>
                <w:b/>
                <w:color w:val="FFFFFF"/>
                <w:sz w:val="24"/>
                <w:szCs w:val="24"/>
              </w:rPr>
              <w:t>s</w:t>
            </w:r>
          </w:p>
        </w:tc>
      </w:tr>
      <w:tr w:rsidR="00477470" w:rsidRPr="004D512B" w14:paraId="5E34A571"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auto"/>
          </w:tcPr>
          <w:p w14:paraId="360F76FD" w14:textId="77777777" w:rsidR="00477470" w:rsidRDefault="00155FA0" w:rsidP="00155FA0">
            <w:pPr>
              <w:spacing w:after="0" w:line="240" w:lineRule="auto"/>
              <w:jc w:val="both"/>
              <w:rPr>
                <w:rFonts w:cs="Arial"/>
                <w:szCs w:val="24"/>
              </w:rPr>
            </w:pPr>
            <w:r>
              <w:rPr>
                <w:rFonts w:cs="Arial"/>
                <w:szCs w:val="24"/>
              </w:rPr>
              <w:t>2.1</w:t>
            </w:r>
          </w:p>
          <w:p w14:paraId="0A548DE6" w14:textId="77777777" w:rsidR="00155FA0" w:rsidRDefault="00155FA0" w:rsidP="00155FA0">
            <w:pPr>
              <w:spacing w:after="0" w:line="240" w:lineRule="auto"/>
              <w:jc w:val="both"/>
              <w:rPr>
                <w:rFonts w:cs="Arial"/>
                <w:szCs w:val="24"/>
              </w:rPr>
            </w:pPr>
          </w:p>
          <w:p w14:paraId="68D456B1" w14:textId="77777777" w:rsidR="00155FA0" w:rsidRDefault="00155FA0" w:rsidP="00155FA0">
            <w:pPr>
              <w:spacing w:after="0" w:line="240" w:lineRule="auto"/>
              <w:jc w:val="both"/>
              <w:rPr>
                <w:rFonts w:cs="Arial"/>
                <w:szCs w:val="24"/>
              </w:rPr>
            </w:pPr>
          </w:p>
          <w:p w14:paraId="350EAF99" w14:textId="77777777" w:rsidR="00155FA0" w:rsidRPr="007A25D1" w:rsidRDefault="00155FA0" w:rsidP="00155FA0">
            <w:pPr>
              <w:spacing w:after="0" w:line="240" w:lineRule="auto"/>
              <w:jc w:val="both"/>
              <w:rPr>
                <w:rFonts w:cs="Arial"/>
                <w:szCs w:val="24"/>
              </w:rPr>
            </w:pPr>
            <w:r>
              <w:rPr>
                <w:rFonts w:cs="Arial"/>
                <w:szCs w:val="24"/>
              </w:rPr>
              <w:t>2.2</w:t>
            </w: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0F735E9F" w14:textId="77777777" w:rsidR="00155FA0" w:rsidRDefault="00155FA0" w:rsidP="00155FA0">
            <w:pPr>
              <w:pStyle w:val="NoSpacing"/>
              <w:jc w:val="both"/>
              <w:rPr>
                <w:rFonts w:cs="Arial"/>
                <w:color w:val="000000"/>
                <w:szCs w:val="24"/>
                <w:u w:val="single"/>
              </w:rPr>
            </w:pPr>
            <w:r w:rsidRPr="00155FA0">
              <w:rPr>
                <w:rFonts w:cs="Arial"/>
                <w:color w:val="000000"/>
                <w:szCs w:val="24"/>
                <w:u w:val="single"/>
              </w:rPr>
              <w:t xml:space="preserve">Legislative </w:t>
            </w:r>
          </w:p>
          <w:p w14:paraId="5801ABAA" w14:textId="77777777" w:rsidR="001D5D5C" w:rsidRPr="00F85E0D" w:rsidRDefault="001D5D5C" w:rsidP="00155FA0">
            <w:pPr>
              <w:pStyle w:val="NoSpacing"/>
              <w:jc w:val="both"/>
              <w:rPr>
                <w:rFonts w:cs="Arial"/>
                <w:color w:val="000000"/>
                <w:szCs w:val="24"/>
              </w:rPr>
            </w:pPr>
            <w:r w:rsidRPr="00F85E0D">
              <w:rPr>
                <w:rFonts w:cs="Arial"/>
                <w:color w:val="000000"/>
                <w:szCs w:val="24"/>
              </w:rPr>
              <w:t>Please see section 2.1 of the Access to Housing Policy &amp; Procedure</w:t>
            </w:r>
            <w:r w:rsidR="00F85E0D" w:rsidRPr="00F85E0D">
              <w:rPr>
                <w:rFonts w:cs="Arial"/>
                <w:color w:val="000000"/>
                <w:szCs w:val="24"/>
              </w:rPr>
              <w:t>.</w:t>
            </w:r>
          </w:p>
          <w:p w14:paraId="5323718C" w14:textId="77777777" w:rsidR="00155FA0" w:rsidRDefault="00155FA0" w:rsidP="00155FA0">
            <w:pPr>
              <w:pStyle w:val="NoSpacing"/>
              <w:jc w:val="both"/>
              <w:rPr>
                <w:rFonts w:cs="Arial"/>
                <w:color w:val="000000"/>
                <w:szCs w:val="24"/>
              </w:rPr>
            </w:pPr>
          </w:p>
          <w:p w14:paraId="11C7EB11" w14:textId="77777777" w:rsidR="00155FA0" w:rsidRDefault="00155FA0" w:rsidP="00155FA0">
            <w:pPr>
              <w:pStyle w:val="NoSpacing"/>
              <w:jc w:val="both"/>
              <w:rPr>
                <w:rFonts w:cs="Arial"/>
                <w:color w:val="000000"/>
                <w:szCs w:val="24"/>
                <w:u w:val="single"/>
              </w:rPr>
            </w:pPr>
            <w:r w:rsidRPr="00155FA0">
              <w:rPr>
                <w:rFonts w:cs="Arial"/>
                <w:color w:val="000000"/>
                <w:szCs w:val="24"/>
                <w:u w:val="single"/>
              </w:rPr>
              <w:t>Regulatory</w:t>
            </w:r>
          </w:p>
          <w:p w14:paraId="3D91B189" w14:textId="77777777" w:rsidR="001D5D5C" w:rsidRPr="00E26B91" w:rsidRDefault="00E76E16" w:rsidP="00155FA0">
            <w:pPr>
              <w:pStyle w:val="NoSpacing"/>
              <w:jc w:val="both"/>
              <w:rPr>
                <w:rFonts w:cs="Arial"/>
                <w:color w:val="000000"/>
                <w:szCs w:val="24"/>
              </w:rPr>
            </w:pPr>
            <w:r>
              <w:rPr>
                <w:rFonts w:cs="Arial"/>
                <w:color w:val="000000"/>
                <w:szCs w:val="24"/>
              </w:rPr>
              <w:t>Please see section 2.</w:t>
            </w:r>
            <w:r w:rsidR="001D5D5C" w:rsidRPr="00F85E0D">
              <w:rPr>
                <w:rFonts w:cs="Arial"/>
                <w:color w:val="000000"/>
                <w:szCs w:val="24"/>
              </w:rPr>
              <w:t>2 of the Access to Housing Policy &amp; Procedure</w:t>
            </w:r>
            <w:r w:rsidR="00E26B91" w:rsidRPr="00E26B91">
              <w:rPr>
                <w:rFonts w:cs="Arial"/>
                <w:color w:val="000000"/>
                <w:szCs w:val="24"/>
              </w:rPr>
              <w:t>.</w:t>
            </w:r>
          </w:p>
          <w:p w14:paraId="19549DC1" w14:textId="77777777" w:rsidR="004D45AB" w:rsidRPr="007A25D1" w:rsidRDefault="004D45AB" w:rsidP="00155FA0">
            <w:pPr>
              <w:pStyle w:val="NoSpacing"/>
              <w:ind w:left="720"/>
              <w:jc w:val="both"/>
              <w:rPr>
                <w:rFonts w:cs="Arial"/>
                <w:color w:val="000000"/>
                <w:szCs w:val="24"/>
              </w:rPr>
            </w:pPr>
          </w:p>
        </w:tc>
      </w:tr>
      <w:tr w:rsidR="00477470" w:rsidRPr="004D512B" w14:paraId="4EDA5608" w14:textId="77777777" w:rsidTr="00CB73DC">
        <w:tc>
          <w:tcPr>
            <w:tcW w:w="889" w:type="dxa"/>
            <w:tcBorders>
              <w:top w:val="single" w:sz="4" w:space="0" w:color="auto"/>
              <w:left w:val="single" w:sz="4" w:space="0" w:color="auto"/>
              <w:bottom w:val="single" w:sz="4" w:space="0" w:color="auto"/>
              <w:right w:val="single" w:sz="4" w:space="0" w:color="auto"/>
            </w:tcBorders>
            <w:shd w:val="clear" w:color="auto" w:fill="7030A0"/>
          </w:tcPr>
          <w:p w14:paraId="24BBBFF6" w14:textId="77777777" w:rsidR="00477470" w:rsidRPr="004D512B" w:rsidRDefault="00675D62" w:rsidP="00155FA0">
            <w:pPr>
              <w:spacing w:after="0" w:line="240" w:lineRule="auto"/>
              <w:jc w:val="both"/>
              <w:rPr>
                <w:rFonts w:cs="Arial"/>
                <w:b/>
                <w:color w:val="FFFFFF"/>
                <w:sz w:val="24"/>
                <w:szCs w:val="24"/>
              </w:rPr>
            </w:pPr>
            <w:r>
              <w:rPr>
                <w:rFonts w:cs="Arial"/>
                <w:b/>
                <w:color w:val="FFFFFF"/>
                <w:sz w:val="24"/>
                <w:szCs w:val="24"/>
              </w:rPr>
              <w:t>3.</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51C00706" w14:textId="77777777" w:rsidR="00477470" w:rsidRPr="004D512B" w:rsidRDefault="00477470" w:rsidP="00155FA0">
            <w:pPr>
              <w:spacing w:after="0" w:line="240" w:lineRule="auto"/>
              <w:jc w:val="both"/>
              <w:rPr>
                <w:rFonts w:cs="Arial"/>
                <w:b/>
                <w:color w:val="FFFFFF"/>
                <w:sz w:val="24"/>
                <w:szCs w:val="24"/>
              </w:rPr>
            </w:pPr>
            <w:r>
              <w:rPr>
                <w:rFonts w:cs="Arial"/>
                <w:b/>
                <w:color w:val="FFFFFF"/>
                <w:sz w:val="24"/>
                <w:szCs w:val="24"/>
              </w:rPr>
              <w:t>Scope &amp; definitions</w:t>
            </w:r>
          </w:p>
        </w:tc>
      </w:tr>
      <w:tr w:rsidR="00155FA0" w:rsidRPr="004D512B" w14:paraId="7930A018" w14:textId="77777777" w:rsidTr="00CB73DC">
        <w:trPr>
          <w:trHeight w:val="2223"/>
        </w:trPr>
        <w:tc>
          <w:tcPr>
            <w:tcW w:w="889" w:type="dxa"/>
            <w:tcBorders>
              <w:top w:val="single" w:sz="4" w:space="0" w:color="auto"/>
              <w:left w:val="single" w:sz="4" w:space="0" w:color="auto"/>
              <w:bottom w:val="single" w:sz="4" w:space="0" w:color="auto"/>
              <w:right w:val="single" w:sz="4" w:space="0" w:color="auto"/>
            </w:tcBorders>
          </w:tcPr>
          <w:p w14:paraId="29235D7B" w14:textId="77777777" w:rsidR="00155FA0" w:rsidRDefault="00155FA0" w:rsidP="00155FA0">
            <w:pPr>
              <w:spacing w:after="0" w:line="240" w:lineRule="auto"/>
              <w:jc w:val="both"/>
              <w:rPr>
                <w:rFonts w:cs="Arial"/>
                <w:szCs w:val="24"/>
              </w:rPr>
            </w:pPr>
            <w:r>
              <w:rPr>
                <w:rFonts w:cs="Arial"/>
                <w:szCs w:val="24"/>
              </w:rPr>
              <w:t>3.1</w:t>
            </w:r>
          </w:p>
          <w:p w14:paraId="4CC5F2BA" w14:textId="77777777" w:rsidR="00155FA0" w:rsidRDefault="00155FA0" w:rsidP="00155FA0">
            <w:pPr>
              <w:spacing w:after="0" w:line="240" w:lineRule="auto"/>
              <w:jc w:val="both"/>
              <w:rPr>
                <w:rFonts w:cs="Arial"/>
                <w:szCs w:val="24"/>
              </w:rPr>
            </w:pPr>
          </w:p>
          <w:p w14:paraId="60FDA881" w14:textId="77777777" w:rsidR="00155FA0" w:rsidRDefault="00155FA0" w:rsidP="00155FA0">
            <w:pPr>
              <w:spacing w:after="0" w:line="240" w:lineRule="auto"/>
              <w:jc w:val="both"/>
              <w:rPr>
                <w:rFonts w:cs="Arial"/>
                <w:szCs w:val="24"/>
              </w:rPr>
            </w:pPr>
            <w:r>
              <w:rPr>
                <w:rFonts w:cs="Arial"/>
                <w:szCs w:val="24"/>
              </w:rPr>
              <w:t>3.1.1</w:t>
            </w:r>
          </w:p>
          <w:p w14:paraId="7E363C05" w14:textId="77777777" w:rsidR="00155FA0" w:rsidRDefault="00155FA0" w:rsidP="00155FA0">
            <w:pPr>
              <w:spacing w:after="0" w:line="240" w:lineRule="auto"/>
              <w:jc w:val="both"/>
              <w:rPr>
                <w:rFonts w:cs="Arial"/>
                <w:szCs w:val="24"/>
              </w:rPr>
            </w:pPr>
          </w:p>
          <w:p w14:paraId="01A97FE2" w14:textId="77777777" w:rsidR="00696210" w:rsidRDefault="00696210" w:rsidP="00155FA0">
            <w:pPr>
              <w:spacing w:after="0" w:line="240" w:lineRule="auto"/>
              <w:jc w:val="both"/>
              <w:rPr>
                <w:rFonts w:cs="Arial"/>
                <w:szCs w:val="24"/>
              </w:rPr>
            </w:pPr>
          </w:p>
          <w:p w14:paraId="5E9BC283" w14:textId="77777777" w:rsidR="00696210" w:rsidRDefault="00696210" w:rsidP="00155FA0">
            <w:pPr>
              <w:spacing w:after="0" w:line="240" w:lineRule="auto"/>
              <w:jc w:val="both"/>
              <w:rPr>
                <w:rFonts w:cs="Arial"/>
                <w:szCs w:val="24"/>
              </w:rPr>
            </w:pPr>
            <w:r>
              <w:rPr>
                <w:rFonts w:cs="Arial"/>
                <w:szCs w:val="24"/>
              </w:rPr>
              <w:t>3.1.2</w:t>
            </w:r>
          </w:p>
          <w:p w14:paraId="18820B63" w14:textId="77777777" w:rsidR="00696210" w:rsidRDefault="00696210" w:rsidP="00155FA0">
            <w:pPr>
              <w:spacing w:after="0" w:line="240" w:lineRule="auto"/>
              <w:jc w:val="both"/>
              <w:rPr>
                <w:rFonts w:cs="Arial"/>
                <w:szCs w:val="24"/>
              </w:rPr>
            </w:pPr>
          </w:p>
          <w:p w14:paraId="4FFB9434" w14:textId="77777777" w:rsidR="00696210" w:rsidRDefault="00696210" w:rsidP="00155FA0">
            <w:pPr>
              <w:spacing w:after="0" w:line="240" w:lineRule="auto"/>
              <w:jc w:val="both"/>
              <w:rPr>
                <w:rFonts w:cs="Arial"/>
                <w:szCs w:val="24"/>
              </w:rPr>
            </w:pPr>
          </w:p>
          <w:p w14:paraId="0171746C" w14:textId="77777777" w:rsidR="00696210" w:rsidRDefault="00696210" w:rsidP="00155FA0">
            <w:pPr>
              <w:spacing w:after="0" w:line="240" w:lineRule="auto"/>
              <w:jc w:val="both"/>
              <w:rPr>
                <w:rFonts w:cs="Arial"/>
                <w:szCs w:val="24"/>
              </w:rPr>
            </w:pPr>
          </w:p>
          <w:p w14:paraId="788C0B6D" w14:textId="3759F387" w:rsidR="00B1065E" w:rsidRDefault="00B1065E" w:rsidP="00155FA0">
            <w:pPr>
              <w:spacing w:after="0" w:line="240" w:lineRule="auto"/>
              <w:jc w:val="both"/>
              <w:rPr>
                <w:rFonts w:cs="Arial"/>
                <w:szCs w:val="24"/>
              </w:rPr>
            </w:pPr>
          </w:p>
          <w:p w14:paraId="10E0573D" w14:textId="77777777" w:rsidR="007348C9" w:rsidRDefault="007348C9" w:rsidP="00155FA0">
            <w:pPr>
              <w:spacing w:after="0" w:line="240" w:lineRule="auto"/>
              <w:jc w:val="both"/>
              <w:rPr>
                <w:rFonts w:cs="Arial"/>
                <w:szCs w:val="24"/>
              </w:rPr>
            </w:pPr>
            <w:bookmarkStart w:id="0" w:name="_GoBack"/>
            <w:bookmarkEnd w:id="0"/>
          </w:p>
          <w:p w14:paraId="0722912F" w14:textId="505168E1" w:rsidR="005C58EA" w:rsidRDefault="005C58EA" w:rsidP="00155FA0">
            <w:pPr>
              <w:spacing w:after="0" w:line="240" w:lineRule="auto"/>
              <w:jc w:val="both"/>
              <w:rPr>
                <w:rFonts w:cs="Arial"/>
                <w:szCs w:val="24"/>
              </w:rPr>
            </w:pPr>
          </w:p>
          <w:p w14:paraId="5E31608B" w14:textId="77777777" w:rsidR="005C58EA" w:rsidRDefault="005C58EA" w:rsidP="00155FA0">
            <w:pPr>
              <w:spacing w:after="0" w:line="240" w:lineRule="auto"/>
              <w:jc w:val="both"/>
              <w:rPr>
                <w:rFonts w:cs="Arial"/>
                <w:szCs w:val="24"/>
              </w:rPr>
            </w:pPr>
          </w:p>
          <w:p w14:paraId="2F9F5DA5" w14:textId="77777777" w:rsidR="00B1065E" w:rsidRDefault="00B1065E" w:rsidP="00155FA0">
            <w:pPr>
              <w:spacing w:after="0" w:line="240" w:lineRule="auto"/>
              <w:jc w:val="both"/>
              <w:rPr>
                <w:rFonts w:cs="Arial"/>
                <w:szCs w:val="24"/>
              </w:rPr>
            </w:pPr>
          </w:p>
          <w:p w14:paraId="0FD84A80" w14:textId="77777777" w:rsidR="00B1065E" w:rsidRDefault="00B1065E" w:rsidP="00155FA0">
            <w:pPr>
              <w:spacing w:after="0" w:line="240" w:lineRule="auto"/>
              <w:jc w:val="both"/>
              <w:rPr>
                <w:rFonts w:cs="Arial"/>
                <w:szCs w:val="24"/>
              </w:rPr>
            </w:pPr>
            <w:r>
              <w:rPr>
                <w:rFonts w:cs="Arial"/>
                <w:szCs w:val="24"/>
              </w:rPr>
              <w:t>3.1.3</w:t>
            </w:r>
          </w:p>
          <w:p w14:paraId="77AED5E1" w14:textId="77777777" w:rsidR="00B1065E" w:rsidRDefault="00B1065E" w:rsidP="00155FA0">
            <w:pPr>
              <w:spacing w:after="0" w:line="240" w:lineRule="auto"/>
              <w:jc w:val="both"/>
              <w:rPr>
                <w:rFonts w:cs="Arial"/>
                <w:szCs w:val="24"/>
              </w:rPr>
            </w:pPr>
          </w:p>
          <w:p w14:paraId="09502096" w14:textId="77777777" w:rsidR="00B1065E" w:rsidRDefault="00B1065E" w:rsidP="00155FA0">
            <w:pPr>
              <w:spacing w:after="0" w:line="240" w:lineRule="auto"/>
              <w:jc w:val="both"/>
              <w:rPr>
                <w:rFonts w:cs="Arial"/>
                <w:szCs w:val="24"/>
              </w:rPr>
            </w:pPr>
          </w:p>
          <w:p w14:paraId="61FEDA1B" w14:textId="77777777" w:rsidR="00470657" w:rsidRDefault="00470657" w:rsidP="00155FA0">
            <w:pPr>
              <w:spacing w:after="0" w:line="240" w:lineRule="auto"/>
              <w:jc w:val="both"/>
              <w:rPr>
                <w:rFonts w:cs="Arial"/>
                <w:szCs w:val="24"/>
              </w:rPr>
            </w:pPr>
          </w:p>
          <w:p w14:paraId="09021FD2" w14:textId="77777777" w:rsidR="00B1065E" w:rsidRDefault="00B1065E" w:rsidP="00155FA0">
            <w:pPr>
              <w:spacing w:after="0" w:line="240" w:lineRule="auto"/>
              <w:jc w:val="both"/>
              <w:rPr>
                <w:rFonts w:cs="Arial"/>
                <w:szCs w:val="24"/>
              </w:rPr>
            </w:pPr>
          </w:p>
          <w:p w14:paraId="318B5EE2" w14:textId="77777777" w:rsidR="00155FA0" w:rsidRDefault="00155FA0" w:rsidP="00155FA0">
            <w:pPr>
              <w:spacing w:after="0" w:line="240" w:lineRule="auto"/>
              <w:jc w:val="both"/>
              <w:rPr>
                <w:rFonts w:cs="Arial"/>
                <w:szCs w:val="24"/>
              </w:rPr>
            </w:pPr>
            <w:r>
              <w:rPr>
                <w:rFonts w:cs="Arial"/>
                <w:szCs w:val="24"/>
              </w:rPr>
              <w:t>3.2</w:t>
            </w:r>
          </w:p>
          <w:p w14:paraId="4AC3C24B" w14:textId="77777777" w:rsidR="00155FA0" w:rsidRDefault="00155FA0" w:rsidP="00155FA0">
            <w:pPr>
              <w:spacing w:after="0" w:line="240" w:lineRule="auto"/>
              <w:jc w:val="both"/>
              <w:rPr>
                <w:rFonts w:cs="Arial"/>
                <w:szCs w:val="24"/>
              </w:rPr>
            </w:pPr>
          </w:p>
          <w:p w14:paraId="530187F1" w14:textId="77777777" w:rsidR="00155FA0" w:rsidRDefault="00155FA0" w:rsidP="00155FA0">
            <w:pPr>
              <w:spacing w:after="0" w:line="240" w:lineRule="auto"/>
              <w:jc w:val="both"/>
              <w:rPr>
                <w:rFonts w:cs="Arial"/>
                <w:szCs w:val="24"/>
              </w:rPr>
            </w:pPr>
            <w:r>
              <w:rPr>
                <w:rFonts w:cs="Arial"/>
                <w:szCs w:val="24"/>
              </w:rPr>
              <w:t>3.2.1</w:t>
            </w:r>
          </w:p>
          <w:p w14:paraId="7CC91A70" w14:textId="77777777" w:rsidR="00155FA0" w:rsidRDefault="00155FA0" w:rsidP="00155FA0">
            <w:pPr>
              <w:spacing w:after="0" w:line="240" w:lineRule="auto"/>
              <w:jc w:val="both"/>
              <w:rPr>
                <w:rFonts w:cs="Arial"/>
                <w:szCs w:val="24"/>
              </w:rPr>
            </w:pPr>
          </w:p>
          <w:p w14:paraId="4A083E7C" w14:textId="77777777" w:rsidR="005B401E" w:rsidRDefault="005B401E" w:rsidP="00155FA0">
            <w:pPr>
              <w:spacing w:after="0" w:line="240" w:lineRule="auto"/>
              <w:jc w:val="both"/>
              <w:rPr>
                <w:rFonts w:cs="Arial"/>
                <w:szCs w:val="24"/>
              </w:rPr>
            </w:pPr>
          </w:p>
          <w:p w14:paraId="3952085E" w14:textId="77777777" w:rsidR="005B401E" w:rsidRDefault="005B401E" w:rsidP="00155FA0">
            <w:pPr>
              <w:spacing w:after="0" w:line="240" w:lineRule="auto"/>
              <w:jc w:val="both"/>
              <w:rPr>
                <w:rFonts w:cs="Arial"/>
                <w:szCs w:val="24"/>
              </w:rPr>
            </w:pPr>
          </w:p>
          <w:p w14:paraId="1B17D884" w14:textId="22F6A502" w:rsidR="00155FA0" w:rsidRDefault="00155FA0" w:rsidP="00155FA0">
            <w:pPr>
              <w:spacing w:after="0" w:line="240" w:lineRule="auto"/>
              <w:jc w:val="both"/>
              <w:rPr>
                <w:rFonts w:cs="Arial"/>
                <w:szCs w:val="24"/>
              </w:rPr>
            </w:pPr>
          </w:p>
          <w:p w14:paraId="6B24F77E" w14:textId="77777777" w:rsidR="005C58EA" w:rsidRDefault="005C58EA" w:rsidP="00155FA0">
            <w:pPr>
              <w:spacing w:after="0" w:line="240" w:lineRule="auto"/>
              <w:jc w:val="both"/>
              <w:rPr>
                <w:rFonts w:cs="Arial"/>
                <w:szCs w:val="24"/>
              </w:rPr>
            </w:pPr>
          </w:p>
          <w:p w14:paraId="7CD9F5AC" w14:textId="77777777" w:rsidR="00155FA0" w:rsidRDefault="00155FA0" w:rsidP="00155FA0">
            <w:pPr>
              <w:spacing w:after="0" w:line="240" w:lineRule="auto"/>
              <w:jc w:val="both"/>
              <w:rPr>
                <w:rFonts w:cs="Arial"/>
                <w:szCs w:val="24"/>
              </w:rPr>
            </w:pPr>
            <w:r>
              <w:rPr>
                <w:rFonts w:cs="Arial"/>
                <w:szCs w:val="24"/>
              </w:rPr>
              <w:t>3.2.2</w:t>
            </w:r>
          </w:p>
          <w:p w14:paraId="50B2D0C1" w14:textId="77777777" w:rsidR="005B401E" w:rsidRDefault="005B401E" w:rsidP="00155FA0">
            <w:pPr>
              <w:spacing w:after="0" w:line="240" w:lineRule="auto"/>
              <w:jc w:val="both"/>
              <w:rPr>
                <w:rFonts w:cs="Arial"/>
                <w:szCs w:val="24"/>
              </w:rPr>
            </w:pPr>
          </w:p>
          <w:p w14:paraId="76FF4CF5" w14:textId="77777777" w:rsidR="00CB73DC" w:rsidRDefault="00CB73DC" w:rsidP="00155FA0">
            <w:pPr>
              <w:spacing w:after="0" w:line="240" w:lineRule="auto"/>
              <w:jc w:val="both"/>
              <w:rPr>
                <w:rFonts w:cs="Arial"/>
                <w:szCs w:val="24"/>
              </w:rPr>
            </w:pPr>
          </w:p>
          <w:p w14:paraId="3B3852D5" w14:textId="77777777" w:rsidR="002377FC" w:rsidRDefault="002377FC" w:rsidP="00155FA0">
            <w:pPr>
              <w:spacing w:after="0" w:line="240" w:lineRule="auto"/>
              <w:jc w:val="both"/>
              <w:rPr>
                <w:rFonts w:cs="Arial"/>
                <w:szCs w:val="24"/>
              </w:rPr>
            </w:pPr>
          </w:p>
          <w:p w14:paraId="7ACE8AB8" w14:textId="77777777" w:rsidR="005B401E" w:rsidRDefault="005B401E" w:rsidP="00155FA0">
            <w:pPr>
              <w:spacing w:after="0" w:line="240" w:lineRule="auto"/>
              <w:jc w:val="both"/>
              <w:rPr>
                <w:rFonts w:cs="Arial"/>
                <w:szCs w:val="24"/>
              </w:rPr>
            </w:pPr>
            <w:r>
              <w:rPr>
                <w:rFonts w:cs="Arial"/>
                <w:szCs w:val="24"/>
              </w:rPr>
              <w:t>3.2.</w:t>
            </w:r>
            <w:r w:rsidR="002377FC">
              <w:rPr>
                <w:rFonts w:cs="Arial"/>
                <w:szCs w:val="24"/>
              </w:rPr>
              <w:t>3</w:t>
            </w:r>
          </w:p>
          <w:p w14:paraId="60ACB0C6" w14:textId="77777777" w:rsidR="005B401E" w:rsidRDefault="005B401E" w:rsidP="00155FA0">
            <w:pPr>
              <w:spacing w:after="0" w:line="240" w:lineRule="auto"/>
              <w:jc w:val="both"/>
              <w:rPr>
                <w:rFonts w:cs="Arial"/>
                <w:szCs w:val="24"/>
              </w:rPr>
            </w:pPr>
          </w:p>
          <w:p w14:paraId="5C06868D" w14:textId="77777777" w:rsidR="00A26346" w:rsidRDefault="00A26346" w:rsidP="00155FA0">
            <w:pPr>
              <w:spacing w:after="0" w:line="240" w:lineRule="auto"/>
              <w:jc w:val="both"/>
              <w:rPr>
                <w:rFonts w:cs="Arial"/>
                <w:szCs w:val="24"/>
              </w:rPr>
            </w:pPr>
          </w:p>
          <w:p w14:paraId="0164BB46" w14:textId="77777777" w:rsidR="00A26346" w:rsidRDefault="00A26346" w:rsidP="00155FA0">
            <w:pPr>
              <w:spacing w:after="0" w:line="240" w:lineRule="auto"/>
              <w:jc w:val="both"/>
              <w:rPr>
                <w:rFonts w:cs="Arial"/>
                <w:szCs w:val="24"/>
              </w:rPr>
            </w:pPr>
          </w:p>
          <w:p w14:paraId="10711D10" w14:textId="77777777" w:rsidR="00A26346" w:rsidRDefault="00A26346" w:rsidP="00155FA0">
            <w:pPr>
              <w:spacing w:after="0" w:line="240" w:lineRule="auto"/>
              <w:jc w:val="both"/>
              <w:rPr>
                <w:rFonts w:cs="Arial"/>
                <w:szCs w:val="24"/>
              </w:rPr>
            </w:pPr>
          </w:p>
          <w:p w14:paraId="5E749DDE" w14:textId="77777777" w:rsidR="00A26346" w:rsidRDefault="00A26346" w:rsidP="00155FA0">
            <w:pPr>
              <w:spacing w:after="0" w:line="240" w:lineRule="auto"/>
              <w:jc w:val="both"/>
              <w:rPr>
                <w:rFonts w:cs="Arial"/>
                <w:szCs w:val="24"/>
              </w:rPr>
            </w:pPr>
          </w:p>
          <w:p w14:paraId="3AD935B0" w14:textId="77777777" w:rsidR="005B401E" w:rsidRDefault="00E76E16" w:rsidP="00155FA0">
            <w:pPr>
              <w:spacing w:after="0" w:line="240" w:lineRule="auto"/>
              <w:jc w:val="both"/>
              <w:rPr>
                <w:rFonts w:cs="Arial"/>
                <w:szCs w:val="24"/>
              </w:rPr>
            </w:pPr>
            <w:r>
              <w:rPr>
                <w:rFonts w:cs="Arial"/>
                <w:szCs w:val="24"/>
              </w:rPr>
              <w:t>3.2.4</w:t>
            </w:r>
          </w:p>
          <w:p w14:paraId="39ED6F9D" w14:textId="77777777" w:rsidR="005B401E" w:rsidRPr="007A25D1" w:rsidRDefault="005B401E" w:rsidP="00155FA0">
            <w:pPr>
              <w:spacing w:after="0" w:line="240" w:lineRule="auto"/>
              <w:jc w:val="both"/>
              <w:rPr>
                <w:rFonts w:cs="Arial"/>
                <w:szCs w:val="24"/>
              </w:rPr>
            </w:pPr>
          </w:p>
        </w:tc>
        <w:tc>
          <w:tcPr>
            <w:tcW w:w="8433" w:type="dxa"/>
            <w:gridSpan w:val="2"/>
            <w:tcBorders>
              <w:top w:val="single" w:sz="4" w:space="0" w:color="auto"/>
              <w:left w:val="single" w:sz="4" w:space="0" w:color="auto"/>
              <w:bottom w:val="single" w:sz="4" w:space="0" w:color="auto"/>
              <w:right w:val="single" w:sz="4" w:space="0" w:color="auto"/>
            </w:tcBorders>
          </w:tcPr>
          <w:p w14:paraId="64DFA93C" w14:textId="77777777" w:rsidR="00155FA0" w:rsidRPr="00302358" w:rsidRDefault="00155FA0" w:rsidP="00155FA0">
            <w:pPr>
              <w:spacing w:after="0" w:line="240" w:lineRule="auto"/>
              <w:jc w:val="both"/>
              <w:rPr>
                <w:rFonts w:cs="Arial"/>
                <w:b/>
                <w:szCs w:val="24"/>
              </w:rPr>
            </w:pPr>
            <w:r w:rsidRPr="00302358">
              <w:rPr>
                <w:rFonts w:cs="Arial"/>
                <w:b/>
                <w:szCs w:val="24"/>
              </w:rPr>
              <w:lastRenderedPageBreak/>
              <w:t>Scope</w:t>
            </w:r>
          </w:p>
          <w:p w14:paraId="736C3C69" w14:textId="77777777" w:rsidR="00155FA0" w:rsidRDefault="00155FA0" w:rsidP="00155FA0">
            <w:pPr>
              <w:spacing w:after="0" w:line="240" w:lineRule="auto"/>
              <w:jc w:val="both"/>
              <w:rPr>
                <w:rFonts w:cs="Arial"/>
                <w:szCs w:val="24"/>
              </w:rPr>
            </w:pPr>
          </w:p>
          <w:p w14:paraId="1A566B47" w14:textId="77777777" w:rsidR="00C7543A" w:rsidRDefault="00D27F9C" w:rsidP="00155FA0">
            <w:pPr>
              <w:spacing w:after="0" w:line="240" w:lineRule="auto"/>
              <w:jc w:val="both"/>
              <w:rPr>
                <w:rFonts w:cs="Arial"/>
                <w:szCs w:val="24"/>
              </w:rPr>
            </w:pPr>
            <w:r>
              <w:rPr>
                <w:rFonts w:cs="Arial"/>
                <w:szCs w:val="24"/>
              </w:rPr>
              <w:t>Th</w:t>
            </w:r>
            <w:r w:rsidR="001D5D5C">
              <w:rPr>
                <w:rFonts w:cs="Arial"/>
                <w:szCs w:val="24"/>
              </w:rPr>
              <w:t>ese Notes act as a reference both for the WCH Housing Panel a</w:t>
            </w:r>
            <w:r w:rsidR="00696210">
              <w:rPr>
                <w:rFonts w:cs="Arial"/>
                <w:szCs w:val="24"/>
              </w:rPr>
              <w:t>nd</w:t>
            </w:r>
            <w:r w:rsidR="001D5D5C">
              <w:rPr>
                <w:rFonts w:cs="Arial"/>
                <w:szCs w:val="24"/>
              </w:rPr>
              <w:t xml:space="preserve"> any members of </w:t>
            </w:r>
            <w:r>
              <w:rPr>
                <w:rFonts w:cs="Arial"/>
                <w:szCs w:val="24"/>
              </w:rPr>
              <w:t>staff who submit cases to the Panel</w:t>
            </w:r>
            <w:r w:rsidR="001D5D5C">
              <w:rPr>
                <w:rFonts w:cs="Arial"/>
                <w:szCs w:val="24"/>
              </w:rPr>
              <w:t xml:space="preserve"> from time to time</w:t>
            </w:r>
            <w:r>
              <w:rPr>
                <w:rFonts w:cs="Arial"/>
                <w:szCs w:val="24"/>
              </w:rPr>
              <w:t xml:space="preserve">. </w:t>
            </w:r>
          </w:p>
          <w:p w14:paraId="005E4243" w14:textId="77777777" w:rsidR="00C7543A" w:rsidRDefault="00C7543A" w:rsidP="00155FA0">
            <w:pPr>
              <w:spacing w:after="0" w:line="240" w:lineRule="auto"/>
              <w:jc w:val="both"/>
              <w:rPr>
                <w:rFonts w:cs="Arial"/>
                <w:szCs w:val="24"/>
              </w:rPr>
            </w:pPr>
          </w:p>
          <w:p w14:paraId="3B20B20C" w14:textId="4B803C25" w:rsidR="00155FA0" w:rsidRDefault="00C7543A" w:rsidP="00155FA0">
            <w:pPr>
              <w:spacing w:after="0" w:line="240" w:lineRule="auto"/>
              <w:jc w:val="both"/>
              <w:rPr>
                <w:rFonts w:cs="Arial"/>
                <w:szCs w:val="24"/>
              </w:rPr>
            </w:pPr>
            <w:r>
              <w:rPr>
                <w:rFonts w:cs="Arial"/>
                <w:szCs w:val="24"/>
              </w:rPr>
              <w:t xml:space="preserve">The Notes apply to all existing WCH general needs and </w:t>
            </w:r>
            <w:r w:rsidR="00DE0CBF">
              <w:rPr>
                <w:rFonts w:cs="Arial"/>
                <w:szCs w:val="24"/>
              </w:rPr>
              <w:t xml:space="preserve">Independent Living or </w:t>
            </w:r>
            <w:proofErr w:type="spellStart"/>
            <w:r w:rsidR="00DE0CBF">
              <w:rPr>
                <w:rFonts w:cs="Arial"/>
                <w:szCs w:val="24"/>
              </w:rPr>
              <w:t>Flexicare</w:t>
            </w:r>
            <w:proofErr w:type="spellEnd"/>
            <w:r w:rsidR="00DE0CBF">
              <w:rPr>
                <w:rFonts w:cs="Arial"/>
                <w:szCs w:val="24"/>
              </w:rPr>
              <w:t xml:space="preserve"> </w:t>
            </w:r>
            <w:r>
              <w:rPr>
                <w:rFonts w:cs="Arial"/>
                <w:szCs w:val="24"/>
              </w:rPr>
              <w:t>tenants (</w:t>
            </w:r>
            <w:proofErr w:type="spellStart"/>
            <w:r>
              <w:rPr>
                <w:rFonts w:cs="Arial"/>
                <w:szCs w:val="24"/>
              </w:rPr>
              <w:t>ie</w:t>
            </w:r>
            <w:proofErr w:type="spellEnd"/>
            <w:r>
              <w:rPr>
                <w:rFonts w:cs="Arial"/>
                <w:szCs w:val="24"/>
              </w:rPr>
              <w:t xml:space="preserve"> tenants on social or affordable rent)</w:t>
            </w:r>
            <w:r w:rsidR="007348C9">
              <w:rPr>
                <w:rFonts w:cs="Arial"/>
                <w:szCs w:val="24"/>
              </w:rPr>
              <w:t xml:space="preserve"> (referred to as customers)</w:t>
            </w:r>
            <w:r>
              <w:rPr>
                <w:rFonts w:cs="Arial"/>
                <w:szCs w:val="24"/>
              </w:rPr>
              <w:t xml:space="preserve"> making an Internal Transfer or Managed Transfer</w:t>
            </w:r>
            <w:r w:rsidR="005D0828">
              <w:rPr>
                <w:rFonts w:cs="Arial"/>
                <w:szCs w:val="24"/>
              </w:rPr>
              <w:t xml:space="preserve"> (see definitions below)</w:t>
            </w:r>
            <w:r>
              <w:rPr>
                <w:rFonts w:cs="Arial"/>
                <w:szCs w:val="24"/>
              </w:rPr>
              <w:t xml:space="preserve"> application.</w:t>
            </w:r>
            <w:r w:rsidR="00DE67A5">
              <w:rPr>
                <w:rFonts w:cs="Arial"/>
                <w:szCs w:val="24"/>
              </w:rPr>
              <w:t xml:space="preserve"> </w:t>
            </w:r>
            <w:proofErr w:type="gramStart"/>
            <w:r w:rsidR="00DE67A5">
              <w:rPr>
                <w:rFonts w:cs="Arial"/>
                <w:szCs w:val="24"/>
              </w:rPr>
              <w:t>The majority of</w:t>
            </w:r>
            <w:proofErr w:type="gramEnd"/>
            <w:r w:rsidR="00DE67A5">
              <w:rPr>
                <w:rFonts w:cs="Arial"/>
                <w:szCs w:val="24"/>
              </w:rPr>
              <w:t xml:space="preserve"> applications for accommodation referred to the WCH Housing Panel will be Managed Transfer </w:t>
            </w:r>
            <w:r w:rsidR="005B401E">
              <w:rPr>
                <w:rFonts w:cs="Arial"/>
                <w:szCs w:val="24"/>
              </w:rPr>
              <w:t>applications as Internal Transfer applications are dealt with purely within the Choice Based Lettings system</w:t>
            </w:r>
            <w:r w:rsidR="005D0828">
              <w:rPr>
                <w:rFonts w:cs="Arial"/>
                <w:szCs w:val="24"/>
              </w:rPr>
              <w:t xml:space="preserve"> or referrals for Hard to Let Accommodation where the applicant does not meet the local authority’s housing criteria</w:t>
            </w:r>
            <w:r w:rsidR="005B401E">
              <w:rPr>
                <w:rFonts w:cs="Arial"/>
                <w:szCs w:val="24"/>
              </w:rPr>
              <w:t xml:space="preserve">. </w:t>
            </w:r>
          </w:p>
          <w:p w14:paraId="705B488E" w14:textId="77777777" w:rsidR="00B1065E" w:rsidRDefault="00B1065E" w:rsidP="00155FA0">
            <w:pPr>
              <w:spacing w:after="0" w:line="240" w:lineRule="auto"/>
              <w:jc w:val="both"/>
              <w:rPr>
                <w:rFonts w:cs="Arial"/>
                <w:szCs w:val="24"/>
              </w:rPr>
            </w:pPr>
          </w:p>
          <w:p w14:paraId="78FB61C6" w14:textId="4C2FBB59" w:rsidR="00B1065E" w:rsidRPr="0045142A" w:rsidRDefault="00B1065E" w:rsidP="00B1065E">
            <w:pPr>
              <w:spacing w:after="0" w:line="240" w:lineRule="auto"/>
              <w:contextualSpacing/>
              <w:jc w:val="both"/>
              <w:rPr>
                <w:rFonts w:eastAsia="Calibri" w:cs="Arial"/>
              </w:rPr>
            </w:pPr>
            <w:r>
              <w:rPr>
                <w:rFonts w:eastAsia="Calibri" w:cs="Arial"/>
              </w:rPr>
              <w:t>The staff involved in any</w:t>
            </w:r>
            <w:r w:rsidRPr="0045142A">
              <w:rPr>
                <w:rFonts w:eastAsia="Calibri" w:cs="Arial"/>
              </w:rPr>
              <w:t xml:space="preserve"> case</w:t>
            </w:r>
            <w:r>
              <w:rPr>
                <w:rFonts w:eastAsia="Calibri" w:cs="Arial"/>
              </w:rPr>
              <w:t>s bought to the Housing Panel,</w:t>
            </w:r>
            <w:r w:rsidRPr="0045142A">
              <w:rPr>
                <w:rFonts w:eastAsia="Calibri" w:cs="Arial"/>
              </w:rPr>
              <w:t xml:space="preserve"> and/or subsequent decision</w:t>
            </w:r>
            <w:r>
              <w:rPr>
                <w:rFonts w:eastAsia="Calibri" w:cs="Arial"/>
              </w:rPr>
              <w:t xml:space="preserve"> makers,</w:t>
            </w:r>
            <w:r w:rsidRPr="0045142A">
              <w:rPr>
                <w:rFonts w:eastAsia="Calibri" w:cs="Arial"/>
              </w:rPr>
              <w:t xml:space="preserve"> must declare any personal interest</w:t>
            </w:r>
            <w:r w:rsidR="00470657">
              <w:rPr>
                <w:rFonts w:eastAsia="Calibri" w:cs="Arial"/>
              </w:rPr>
              <w:t xml:space="preserve"> such as being a</w:t>
            </w:r>
            <w:r w:rsidRPr="0045142A">
              <w:rPr>
                <w:rFonts w:eastAsia="Calibri" w:cs="Arial"/>
              </w:rPr>
              <w:t xml:space="preserve"> relative, friend or neighbour</w:t>
            </w:r>
            <w:r w:rsidR="00470657">
              <w:rPr>
                <w:rFonts w:eastAsia="Calibri" w:cs="Arial"/>
              </w:rPr>
              <w:t xml:space="preserve"> of the applicant</w:t>
            </w:r>
            <w:r w:rsidRPr="0045142A">
              <w:rPr>
                <w:rFonts w:eastAsia="Calibri" w:cs="Arial"/>
              </w:rPr>
              <w:t>. In such cases the member of staff should withdraw from any</w:t>
            </w:r>
            <w:r w:rsidR="00470657">
              <w:rPr>
                <w:rFonts w:eastAsia="Calibri" w:cs="Arial"/>
              </w:rPr>
              <w:t xml:space="preserve"> further</w:t>
            </w:r>
            <w:r w:rsidRPr="0045142A">
              <w:rPr>
                <w:rFonts w:eastAsia="Calibri" w:cs="Arial"/>
              </w:rPr>
              <w:t xml:space="preserve"> involvement.</w:t>
            </w:r>
          </w:p>
          <w:p w14:paraId="5EE2E23D" w14:textId="77777777" w:rsidR="00155FA0" w:rsidRDefault="00155FA0" w:rsidP="00155FA0">
            <w:pPr>
              <w:spacing w:after="0" w:line="240" w:lineRule="auto"/>
              <w:jc w:val="both"/>
              <w:rPr>
                <w:rFonts w:cs="Arial"/>
                <w:szCs w:val="24"/>
              </w:rPr>
            </w:pPr>
          </w:p>
          <w:p w14:paraId="410E1AFF" w14:textId="77777777" w:rsidR="00155FA0" w:rsidRPr="00302358" w:rsidRDefault="00155FA0" w:rsidP="00155FA0">
            <w:pPr>
              <w:spacing w:after="0" w:line="240" w:lineRule="auto"/>
              <w:jc w:val="both"/>
              <w:rPr>
                <w:rFonts w:cs="Arial"/>
                <w:b/>
                <w:szCs w:val="24"/>
              </w:rPr>
            </w:pPr>
            <w:r w:rsidRPr="00302358">
              <w:rPr>
                <w:rFonts w:cs="Arial"/>
                <w:b/>
                <w:szCs w:val="24"/>
              </w:rPr>
              <w:t>Definitions</w:t>
            </w:r>
          </w:p>
          <w:p w14:paraId="552E847F" w14:textId="77777777" w:rsidR="00443553" w:rsidRDefault="00443553" w:rsidP="00155FA0">
            <w:pPr>
              <w:spacing w:after="0" w:line="240" w:lineRule="auto"/>
              <w:jc w:val="both"/>
              <w:rPr>
                <w:rFonts w:cs="Arial"/>
                <w:szCs w:val="24"/>
                <w:u w:val="single"/>
              </w:rPr>
            </w:pPr>
          </w:p>
          <w:p w14:paraId="749DF07F" w14:textId="77777777" w:rsidR="00443553" w:rsidRPr="00302358" w:rsidRDefault="00443553" w:rsidP="00155FA0">
            <w:pPr>
              <w:spacing w:after="0" w:line="240" w:lineRule="auto"/>
              <w:jc w:val="both"/>
              <w:rPr>
                <w:rFonts w:cs="Arial"/>
                <w:szCs w:val="24"/>
              </w:rPr>
            </w:pPr>
            <w:r w:rsidRPr="00302358">
              <w:rPr>
                <w:rFonts w:cs="Arial"/>
                <w:szCs w:val="24"/>
                <w:u w:val="single"/>
              </w:rPr>
              <w:t>Choice Based Lettings</w:t>
            </w:r>
            <w:r w:rsidR="005B401E" w:rsidRPr="00302358">
              <w:rPr>
                <w:rFonts w:cs="Arial"/>
                <w:szCs w:val="24"/>
              </w:rPr>
              <w:t>:</w:t>
            </w:r>
            <w:r w:rsidR="00302358" w:rsidRPr="00302358">
              <w:rPr>
                <w:rFonts w:cs="Arial"/>
                <w:szCs w:val="24"/>
              </w:rPr>
              <w:t xml:space="preserve"> a </w:t>
            </w:r>
            <w:r w:rsidR="00302358">
              <w:rPr>
                <w:rFonts w:cs="Arial"/>
                <w:szCs w:val="24"/>
              </w:rPr>
              <w:t xml:space="preserve">scheme allowing a housing applicant to bid for a </w:t>
            </w:r>
            <w:r w:rsidR="00A26346">
              <w:rPr>
                <w:rFonts w:cs="Arial"/>
                <w:szCs w:val="24"/>
              </w:rPr>
              <w:t xml:space="preserve">council or housing association property advertised as being available by a participating local </w:t>
            </w:r>
            <w:r w:rsidR="00A26346">
              <w:rPr>
                <w:rFonts w:cs="Arial"/>
                <w:szCs w:val="24"/>
              </w:rPr>
              <w:lastRenderedPageBreak/>
              <w:t>authority. WCH is a partner in the ‘Home Connections’ scheme covering Hertfordshire. Further information is set out at section 3.2.1 of the Access to Housing Policy &amp; Procedure.</w:t>
            </w:r>
          </w:p>
          <w:p w14:paraId="2F5583E5" w14:textId="77777777" w:rsidR="005C58EA" w:rsidRDefault="005C58EA" w:rsidP="00155FA0">
            <w:pPr>
              <w:spacing w:after="0" w:line="240" w:lineRule="auto"/>
              <w:jc w:val="both"/>
              <w:rPr>
                <w:rFonts w:cs="Arial"/>
                <w:szCs w:val="24"/>
                <w:u w:val="single"/>
              </w:rPr>
            </w:pPr>
          </w:p>
          <w:p w14:paraId="6A203BB5" w14:textId="657A14E9" w:rsidR="00A26346" w:rsidRDefault="00C7543A" w:rsidP="00155FA0">
            <w:pPr>
              <w:spacing w:after="0" w:line="240" w:lineRule="auto"/>
              <w:jc w:val="both"/>
              <w:rPr>
                <w:rFonts w:cs="Arial"/>
                <w:szCs w:val="24"/>
              </w:rPr>
            </w:pPr>
            <w:r w:rsidRPr="00E76E16">
              <w:rPr>
                <w:rFonts w:cs="Arial"/>
                <w:szCs w:val="24"/>
                <w:u w:val="single"/>
              </w:rPr>
              <w:t>Internal Transfer</w:t>
            </w:r>
            <w:r>
              <w:rPr>
                <w:rFonts w:cs="Arial"/>
                <w:szCs w:val="24"/>
              </w:rPr>
              <w:t xml:space="preserve">: </w:t>
            </w:r>
            <w:r w:rsidR="00A26346">
              <w:rPr>
                <w:rFonts w:cs="Arial"/>
                <w:szCs w:val="24"/>
              </w:rPr>
              <w:t xml:space="preserve">a process by which existing WCH </w:t>
            </w:r>
            <w:r w:rsidR="007348C9">
              <w:rPr>
                <w:rFonts w:cs="Arial"/>
                <w:szCs w:val="24"/>
              </w:rPr>
              <w:t>customer</w:t>
            </w:r>
            <w:r w:rsidR="00A26346">
              <w:rPr>
                <w:rFonts w:cs="Arial"/>
                <w:szCs w:val="24"/>
              </w:rPr>
              <w:t xml:space="preserve">s bid for an alternative property through the Choice Based Lettings scheme which then allocates properties according to housing need. </w:t>
            </w:r>
          </w:p>
          <w:p w14:paraId="719F8D74" w14:textId="77777777" w:rsidR="00394CB7" w:rsidRDefault="00394CB7" w:rsidP="00750199">
            <w:pPr>
              <w:spacing w:after="0" w:line="240" w:lineRule="auto"/>
              <w:jc w:val="both"/>
              <w:rPr>
                <w:rFonts w:cs="Arial"/>
                <w:szCs w:val="24"/>
                <w:u w:val="single"/>
              </w:rPr>
            </w:pPr>
          </w:p>
          <w:p w14:paraId="1102A144" w14:textId="4EBEB13B" w:rsidR="00A26346" w:rsidRDefault="00C7543A" w:rsidP="00750199">
            <w:pPr>
              <w:spacing w:after="0" w:line="240" w:lineRule="auto"/>
              <w:jc w:val="both"/>
              <w:rPr>
                <w:rFonts w:cs="Arial"/>
                <w:szCs w:val="24"/>
              </w:rPr>
            </w:pPr>
            <w:r w:rsidRPr="00750199">
              <w:rPr>
                <w:rFonts w:cs="Arial"/>
                <w:szCs w:val="24"/>
                <w:u w:val="single"/>
              </w:rPr>
              <w:t>Managed Transfer</w:t>
            </w:r>
            <w:r>
              <w:rPr>
                <w:rFonts w:cs="Arial"/>
                <w:szCs w:val="24"/>
              </w:rPr>
              <w:t xml:space="preserve">:  </w:t>
            </w:r>
            <w:r w:rsidR="00A26346">
              <w:rPr>
                <w:rFonts w:cs="Arial"/>
                <w:szCs w:val="24"/>
              </w:rPr>
              <w:t xml:space="preserve">a process undertaken by WCH of offering and allocating an alternative home to an existing WCH property generally in exceptional circumstances where the </w:t>
            </w:r>
            <w:r w:rsidR="007348C9">
              <w:rPr>
                <w:rFonts w:cs="Arial"/>
                <w:szCs w:val="24"/>
              </w:rPr>
              <w:t>customer</w:t>
            </w:r>
            <w:r w:rsidR="00A26346">
              <w:rPr>
                <w:rFonts w:cs="Arial"/>
                <w:szCs w:val="24"/>
              </w:rPr>
              <w:t xml:space="preserve">’s priority for a move </w:t>
            </w:r>
            <w:r w:rsidR="005D0828">
              <w:rPr>
                <w:rFonts w:cs="Arial"/>
                <w:szCs w:val="24"/>
              </w:rPr>
              <w:t xml:space="preserve">is not adequately catered for in the CBL system and </w:t>
            </w:r>
            <w:r w:rsidR="00A26346">
              <w:rPr>
                <w:rFonts w:cs="Arial"/>
                <w:szCs w:val="24"/>
              </w:rPr>
              <w:t>warrants their transfer.  Managed Transfers are general</w:t>
            </w:r>
            <w:r w:rsidR="00E13476">
              <w:rPr>
                <w:rFonts w:cs="Arial"/>
                <w:szCs w:val="24"/>
              </w:rPr>
              <w:t>ly</w:t>
            </w:r>
            <w:r w:rsidR="00A26346">
              <w:rPr>
                <w:rFonts w:cs="Arial"/>
                <w:szCs w:val="24"/>
              </w:rPr>
              <w:t xml:space="preserve"> approved by the WCH Housing </w:t>
            </w:r>
            <w:r w:rsidR="00E13476">
              <w:rPr>
                <w:rFonts w:cs="Arial"/>
                <w:szCs w:val="24"/>
              </w:rPr>
              <w:t>P</w:t>
            </w:r>
            <w:r w:rsidR="00A26346">
              <w:rPr>
                <w:rFonts w:cs="Arial"/>
                <w:szCs w:val="24"/>
              </w:rPr>
              <w:t xml:space="preserve">anel </w:t>
            </w:r>
            <w:r w:rsidR="00E13476">
              <w:rPr>
                <w:rFonts w:cs="Arial"/>
                <w:szCs w:val="24"/>
              </w:rPr>
              <w:t>based on the conside</w:t>
            </w:r>
            <w:r w:rsidR="00470657">
              <w:rPr>
                <w:rFonts w:cs="Arial"/>
                <w:szCs w:val="24"/>
              </w:rPr>
              <w:t>rations at section 5.2</w:t>
            </w:r>
            <w:r w:rsidR="00E13476">
              <w:rPr>
                <w:rFonts w:cs="Arial"/>
                <w:szCs w:val="24"/>
              </w:rPr>
              <w:t xml:space="preserve"> below</w:t>
            </w:r>
          </w:p>
          <w:p w14:paraId="2CF16693" w14:textId="77777777" w:rsidR="00C7543A" w:rsidRDefault="00C7543A" w:rsidP="00155FA0">
            <w:pPr>
              <w:spacing w:after="0" w:line="240" w:lineRule="auto"/>
              <w:jc w:val="both"/>
              <w:rPr>
                <w:rFonts w:cs="Arial"/>
                <w:szCs w:val="24"/>
              </w:rPr>
            </w:pPr>
          </w:p>
          <w:p w14:paraId="43F8EA12" w14:textId="4BC85DCA" w:rsidR="00545778" w:rsidRDefault="00155FA0" w:rsidP="00155FA0">
            <w:pPr>
              <w:spacing w:after="0" w:line="240" w:lineRule="auto"/>
              <w:jc w:val="both"/>
              <w:rPr>
                <w:rFonts w:cs="Arial"/>
                <w:szCs w:val="24"/>
              </w:rPr>
            </w:pPr>
            <w:r w:rsidRPr="002377FC">
              <w:rPr>
                <w:rFonts w:cs="Arial"/>
                <w:szCs w:val="24"/>
                <w:u w:val="single"/>
              </w:rPr>
              <w:t>Hard-to-let</w:t>
            </w:r>
            <w:r w:rsidR="002377FC" w:rsidRPr="002377FC">
              <w:rPr>
                <w:rFonts w:cs="Arial"/>
                <w:szCs w:val="24"/>
                <w:u w:val="single"/>
              </w:rPr>
              <w:t xml:space="preserve"> </w:t>
            </w:r>
            <w:r w:rsidR="005D0828">
              <w:rPr>
                <w:rFonts w:cs="Arial"/>
                <w:szCs w:val="24"/>
                <w:u w:val="single"/>
              </w:rPr>
              <w:t>A</w:t>
            </w:r>
            <w:r w:rsidR="002377FC" w:rsidRPr="002377FC">
              <w:rPr>
                <w:rFonts w:cs="Arial"/>
                <w:szCs w:val="24"/>
                <w:u w:val="single"/>
              </w:rPr>
              <w:t>ccommodation</w:t>
            </w:r>
            <w:r w:rsidR="002377FC">
              <w:rPr>
                <w:rFonts w:cs="Arial"/>
                <w:szCs w:val="24"/>
              </w:rPr>
              <w:t>:</w:t>
            </w:r>
            <w:r>
              <w:rPr>
                <w:rFonts w:cs="Arial"/>
                <w:szCs w:val="24"/>
              </w:rPr>
              <w:t xml:space="preserve"> </w:t>
            </w:r>
            <w:r w:rsidR="002377FC">
              <w:rPr>
                <w:rFonts w:cs="Arial"/>
                <w:szCs w:val="24"/>
              </w:rPr>
              <w:t>WCH</w:t>
            </w:r>
            <w:r>
              <w:rPr>
                <w:rFonts w:cs="Arial"/>
                <w:szCs w:val="24"/>
              </w:rPr>
              <w:t xml:space="preserve"> properties which have been advertised twice o</w:t>
            </w:r>
            <w:r w:rsidR="002377FC">
              <w:rPr>
                <w:rFonts w:cs="Arial"/>
                <w:szCs w:val="24"/>
              </w:rPr>
              <w:t>r more without success on Home Connections or which are less desirable (</w:t>
            </w:r>
            <w:proofErr w:type="spellStart"/>
            <w:r w:rsidR="002377FC">
              <w:rPr>
                <w:rFonts w:cs="Arial"/>
                <w:szCs w:val="24"/>
              </w:rPr>
              <w:t>eg</w:t>
            </w:r>
            <w:proofErr w:type="spellEnd"/>
            <w:r w:rsidR="002377FC">
              <w:rPr>
                <w:rFonts w:cs="Arial"/>
                <w:szCs w:val="24"/>
              </w:rPr>
              <w:t xml:space="preserve"> bedsits with shared facilities or </w:t>
            </w:r>
            <w:proofErr w:type="gramStart"/>
            <w:r w:rsidR="002377FC">
              <w:rPr>
                <w:rFonts w:cs="Arial"/>
                <w:szCs w:val="24"/>
              </w:rPr>
              <w:t>one bedroom</w:t>
            </w:r>
            <w:proofErr w:type="gramEnd"/>
            <w:r w:rsidR="002377FC">
              <w:rPr>
                <w:rFonts w:cs="Arial"/>
                <w:szCs w:val="24"/>
              </w:rPr>
              <w:t xml:space="preserve"> properties in less desirable areas).</w:t>
            </w:r>
          </w:p>
          <w:p w14:paraId="3F38981E" w14:textId="77777777" w:rsidR="00155FA0" w:rsidRPr="007A25D1" w:rsidRDefault="00155FA0" w:rsidP="00155FA0">
            <w:pPr>
              <w:spacing w:after="0" w:line="240" w:lineRule="auto"/>
              <w:jc w:val="both"/>
              <w:rPr>
                <w:rFonts w:cs="Arial"/>
                <w:szCs w:val="24"/>
              </w:rPr>
            </w:pPr>
          </w:p>
        </w:tc>
      </w:tr>
      <w:tr w:rsidR="00C7543A" w:rsidRPr="004D512B" w14:paraId="7119D0BA" w14:textId="77777777" w:rsidTr="00CB73DC">
        <w:tc>
          <w:tcPr>
            <w:tcW w:w="889" w:type="dxa"/>
            <w:tcBorders>
              <w:top w:val="single" w:sz="4" w:space="0" w:color="auto"/>
              <w:left w:val="single" w:sz="4" w:space="0" w:color="auto"/>
              <w:bottom w:val="single" w:sz="4" w:space="0" w:color="auto"/>
              <w:right w:val="single" w:sz="4" w:space="0" w:color="auto"/>
            </w:tcBorders>
            <w:shd w:val="clear" w:color="auto" w:fill="7030A0"/>
          </w:tcPr>
          <w:p w14:paraId="597AB9D2" w14:textId="77777777" w:rsidR="00C7543A" w:rsidRDefault="00443553" w:rsidP="00155FA0">
            <w:pPr>
              <w:spacing w:after="0" w:line="240" w:lineRule="auto"/>
              <w:jc w:val="both"/>
              <w:rPr>
                <w:rFonts w:cs="Arial"/>
                <w:b/>
                <w:color w:val="FFFFFF"/>
                <w:sz w:val="24"/>
                <w:szCs w:val="24"/>
              </w:rPr>
            </w:pPr>
            <w:r>
              <w:rPr>
                <w:rFonts w:cs="Arial"/>
                <w:b/>
                <w:color w:val="FFFFFF"/>
                <w:sz w:val="24"/>
                <w:szCs w:val="24"/>
              </w:rPr>
              <w:lastRenderedPageBreak/>
              <w:t>4.</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543785EE" w14:textId="77777777" w:rsidR="00C7543A" w:rsidRDefault="00C7543A" w:rsidP="00155FA0">
            <w:pPr>
              <w:spacing w:after="0" w:line="240" w:lineRule="auto"/>
              <w:jc w:val="both"/>
              <w:rPr>
                <w:rFonts w:cs="Arial"/>
                <w:b/>
                <w:color w:val="FFFFFF"/>
                <w:sz w:val="24"/>
                <w:szCs w:val="24"/>
              </w:rPr>
            </w:pPr>
            <w:r>
              <w:rPr>
                <w:rFonts w:cs="Arial"/>
                <w:b/>
                <w:color w:val="FFFFFF"/>
                <w:sz w:val="24"/>
                <w:szCs w:val="24"/>
              </w:rPr>
              <w:t>Internal Transfers</w:t>
            </w:r>
          </w:p>
        </w:tc>
      </w:tr>
      <w:tr w:rsidR="00443553" w:rsidRPr="004D512B" w14:paraId="02F9E057" w14:textId="77777777" w:rsidTr="007C1EF0">
        <w:trPr>
          <w:trHeight w:val="2243"/>
        </w:trPr>
        <w:tc>
          <w:tcPr>
            <w:tcW w:w="889" w:type="dxa"/>
            <w:tcBorders>
              <w:top w:val="single" w:sz="4" w:space="0" w:color="auto"/>
              <w:left w:val="single" w:sz="4" w:space="0" w:color="auto"/>
              <w:bottom w:val="single" w:sz="4" w:space="0" w:color="auto"/>
              <w:right w:val="single" w:sz="4" w:space="0" w:color="auto"/>
            </w:tcBorders>
            <w:shd w:val="clear" w:color="auto" w:fill="auto"/>
          </w:tcPr>
          <w:p w14:paraId="0669648A" w14:textId="77777777" w:rsidR="007C1EF0" w:rsidRDefault="007C1EF0" w:rsidP="007C1EF0">
            <w:pPr>
              <w:spacing w:after="0" w:line="240" w:lineRule="auto"/>
              <w:jc w:val="both"/>
              <w:rPr>
                <w:rFonts w:cs="Arial"/>
                <w:szCs w:val="24"/>
              </w:rPr>
            </w:pPr>
            <w:r>
              <w:rPr>
                <w:rFonts w:cs="Arial"/>
                <w:szCs w:val="24"/>
              </w:rPr>
              <w:t>4.1</w:t>
            </w:r>
          </w:p>
          <w:p w14:paraId="1442A414" w14:textId="77777777" w:rsidR="00443553" w:rsidRDefault="00443553"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5B9D519B" w14:textId="587EB440" w:rsidR="00443553" w:rsidRDefault="00DE0CBF" w:rsidP="00155FA0">
            <w:pPr>
              <w:spacing w:after="0" w:line="240" w:lineRule="auto"/>
              <w:jc w:val="both"/>
              <w:rPr>
                <w:rFonts w:cs="Arial"/>
                <w:szCs w:val="24"/>
              </w:rPr>
            </w:pPr>
            <w:r>
              <w:rPr>
                <w:rFonts w:cs="Arial"/>
                <w:szCs w:val="24"/>
              </w:rPr>
              <w:t>A proportion of</w:t>
            </w:r>
            <w:r w:rsidR="00443553">
              <w:rPr>
                <w:rFonts w:cs="Arial"/>
                <w:szCs w:val="24"/>
              </w:rPr>
              <w:t xml:space="preserve"> WCH housing stock may be offered to eligible </w:t>
            </w:r>
            <w:r w:rsidR="007C1EF0">
              <w:rPr>
                <w:rFonts w:cs="Arial"/>
                <w:szCs w:val="24"/>
              </w:rPr>
              <w:t xml:space="preserve">WCH </w:t>
            </w:r>
            <w:r w:rsidR="00443553">
              <w:rPr>
                <w:rFonts w:cs="Arial"/>
                <w:szCs w:val="24"/>
              </w:rPr>
              <w:t>applicants</w:t>
            </w:r>
            <w:r w:rsidR="007C1EF0">
              <w:rPr>
                <w:rFonts w:cs="Arial"/>
                <w:szCs w:val="24"/>
              </w:rPr>
              <w:t xml:space="preserve"> by way of </w:t>
            </w:r>
            <w:r w:rsidR="00443553">
              <w:rPr>
                <w:rFonts w:cs="Arial"/>
                <w:szCs w:val="24"/>
              </w:rPr>
              <w:t xml:space="preserve">Internal Transfer </w:t>
            </w:r>
            <w:r w:rsidR="007C1EF0">
              <w:rPr>
                <w:rFonts w:cs="Arial"/>
                <w:szCs w:val="24"/>
              </w:rPr>
              <w:t xml:space="preserve">under the </w:t>
            </w:r>
            <w:r w:rsidR="00443553">
              <w:rPr>
                <w:rFonts w:cs="Arial"/>
                <w:szCs w:val="24"/>
              </w:rPr>
              <w:t>Choice Based Lettings</w:t>
            </w:r>
            <w:r w:rsidR="002377FC">
              <w:rPr>
                <w:rFonts w:cs="Arial"/>
                <w:szCs w:val="24"/>
              </w:rPr>
              <w:t xml:space="preserve"> (CBL)</w:t>
            </w:r>
            <w:r w:rsidR="007C1EF0">
              <w:rPr>
                <w:rFonts w:cs="Arial"/>
                <w:szCs w:val="24"/>
              </w:rPr>
              <w:t xml:space="preserve"> system</w:t>
            </w:r>
            <w:r w:rsidR="00443553">
              <w:rPr>
                <w:rFonts w:cs="Arial"/>
                <w:szCs w:val="24"/>
              </w:rPr>
              <w:t xml:space="preserve">. </w:t>
            </w:r>
            <w:r w:rsidR="002377FC">
              <w:rPr>
                <w:rFonts w:cs="Arial"/>
                <w:szCs w:val="24"/>
              </w:rPr>
              <w:t xml:space="preserve">Applicants register an application on CBL and are then prioritised for a new home according to the relevant local authority’s criteria. Existing WCH </w:t>
            </w:r>
            <w:r w:rsidR="007348C9">
              <w:rPr>
                <w:rFonts w:cs="Arial"/>
                <w:szCs w:val="24"/>
              </w:rPr>
              <w:t>customer</w:t>
            </w:r>
            <w:r w:rsidR="002377FC">
              <w:rPr>
                <w:rFonts w:cs="Arial"/>
                <w:szCs w:val="24"/>
              </w:rPr>
              <w:t>s may apply for a transfer if: -</w:t>
            </w:r>
          </w:p>
          <w:p w14:paraId="552F5833" w14:textId="77777777" w:rsidR="002377FC" w:rsidRDefault="002377FC" w:rsidP="002377FC">
            <w:pPr>
              <w:pStyle w:val="ListParagraph"/>
              <w:numPr>
                <w:ilvl w:val="0"/>
                <w:numId w:val="10"/>
              </w:numPr>
              <w:spacing w:after="0" w:line="240" w:lineRule="auto"/>
              <w:jc w:val="both"/>
              <w:rPr>
                <w:rFonts w:cs="Arial"/>
                <w:szCs w:val="24"/>
              </w:rPr>
            </w:pPr>
            <w:r>
              <w:rPr>
                <w:rFonts w:cs="Arial"/>
                <w:szCs w:val="24"/>
              </w:rPr>
              <w:t>They are not within their Starter Period;</w:t>
            </w:r>
          </w:p>
          <w:p w14:paraId="14577AB7" w14:textId="77777777" w:rsidR="002377FC" w:rsidRDefault="002377FC" w:rsidP="002377FC">
            <w:pPr>
              <w:pStyle w:val="ListParagraph"/>
              <w:numPr>
                <w:ilvl w:val="0"/>
                <w:numId w:val="10"/>
              </w:numPr>
              <w:spacing w:after="0" w:line="240" w:lineRule="auto"/>
              <w:jc w:val="both"/>
              <w:rPr>
                <w:rFonts w:cs="Arial"/>
                <w:szCs w:val="24"/>
              </w:rPr>
            </w:pPr>
            <w:r>
              <w:rPr>
                <w:rFonts w:cs="Arial"/>
                <w:szCs w:val="24"/>
              </w:rPr>
              <w:t>They have maintained a clear rent account for the preceding 13 weeks; and</w:t>
            </w:r>
          </w:p>
          <w:p w14:paraId="7B0B7E51" w14:textId="77777777" w:rsidR="00443553" w:rsidRDefault="002377FC" w:rsidP="007C1EF0">
            <w:pPr>
              <w:pStyle w:val="ListParagraph"/>
              <w:numPr>
                <w:ilvl w:val="0"/>
                <w:numId w:val="10"/>
              </w:numPr>
              <w:spacing w:after="0" w:line="240" w:lineRule="auto"/>
              <w:jc w:val="both"/>
              <w:rPr>
                <w:rFonts w:cs="Arial"/>
                <w:b/>
                <w:color w:val="FFFFFF"/>
                <w:sz w:val="24"/>
                <w:szCs w:val="24"/>
              </w:rPr>
            </w:pPr>
            <w:r w:rsidRPr="007C1EF0">
              <w:rPr>
                <w:rFonts w:cs="Arial"/>
                <w:szCs w:val="24"/>
              </w:rPr>
              <w:t>They have not breached their tenancy conditions.</w:t>
            </w:r>
          </w:p>
        </w:tc>
      </w:tr>
      <w:tr w:rsidR="00443553" w:rsidRPr="004D512B" w14:paraId="0642E677"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auto"/>
          </w:tcPr>
          <w:p w14:paraId="47202745" w14:textId="77777777" w:rsidR="007C1EF0" w:rsidRDefault="007C1EF0" w:rsidP="007C1EF0">
            <w:pPr>
              <w:spacing w:after="0" w:line="240" w:lineRule="auto"/>
              <w:jc w:val="both"/>
              <w:rPr>
                <w:rFonts w:cs="Arial"/>
                <w:szCs w:val="24"/>
              </w:rPr>
            </w:pPr>
            <w:r>
              <w:rPr>
                <w:rFonts w:cs="Arial"/>
                <w:szCs w:val="24"/>
              </w:rPr>
              <w:t>4.2</w:t>
            </w:r>
          </w:p>
          <w:p w14:paraId="378F6EB7" w14:textId="77777777" w:rsidR="00443553" w:rsidRDefault="00443553"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14973B80" w14:textId="1D677679" w:rsidR="007C1EF0" w:rsidRDefault="002377FC" w:rsidP="007C1EF0">
            <w:pPr>
              <w:spacing w:after="0" w:line="240" w:lineRule="auto"/>
              <w:jc w:val="both"/>
              <w:rPr>
                <w:rFonts w:cs="Arial"/>
                <w:szCs w:val="24"/>
              </w:rPr>
            </w:pPr>
            <w:r>
              <w:rPr>
                <w:rFonts w:cs="Arial"/>
                <w:szCs w:val="24"/>
              </w:rPr>
              <w:t xml:space="preserve">Existing </w:t>
            </w:r>
            <w:r w:rsidR="007348C9">
              <w:rPr>
                <w:rFonts w:cs="Arial"/>
                <w:szCs w:val="24"/>
              </w:rPr>
              <w:t>customer</w:t>
            </w:r>
            <w:r>
              <w:rPr>
                <w:rFonts w:cs="Arial"/>
                <w:szCs w:val="24"/>
              </w:rPr>
              <w:t>s may generally only apply for properties appropriate to the size of their household as set out at Appendix 1 of the Access to Housing Policy &amp; Procedure.</w:t>
            </w:r>
            <w:r w:rsidR="007C1EF0">
              <w:rPr>
                <w:rFonts w:cs="Arial"/>
                <w:szCs w:val="24"/>
              </w:rPr>
              <w:t xml:space="preserve"> Please see section 9.4</w:t>
            </w:r>
            <w:r w:rsidR="00470657">
              <w:rPr>
                <w:rFonts w:cs="Arial"/>
                <w:szCs w:val="24"/>
              </w:rPr>
              <w:t xml:space="preserve"> of these Notes</w:t>
            </w:r>
            <w:r w:rsidR="007C1EF0">
              <w:rPr>
                <w:rFonts w:cs="Arial"/>
                <w:szCs w:val="24"/>
              </w:rPr>
              <w:t xml:space="preserve"> for the relevant application process.</w:t>
            </w:r>
          </w:p>
          <w:p w14:paraId="08D248E3" w14:textId="77777777" w:rsidR="00443553" w:rsidRDefault="002377FC" w:rsidP="002377FC">
            <w:pPr>
              <w:spacing w:after="0" w:line="240" w:lineRule="auto"/>
              <w:jc w:val="both"/>
              <w:rPr>
                <w:rFonts w:cs="Arial"/>
                <w:b/>
                <w:color w:val="FFFFFF"/>
                <w:sz w:val="24"/>
                <w:szCs w:val="24"/>
              </w:rPr>
            </w:pPr>
            <w:r>
              <w:rPr>
                <w:rFonts w:cs="Arial"/>
                <w:szCs w:val="24"/>
              </w:rPr>
              <w:t xml:space="preserve"> </w:t>
            </w:r>
          </w:p>
        </w:tc>
      </w:tr>
      <w:tr w:rsidR="00C7543A" w:rsidRPr="004D512B" w14:paraId="330224F3"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7030A0"/>
          </w:tcPr>
          <w:p w14:paraId="4F9006F8" w14:textId="77777777" w:rsidR="00C7543A" w:rsidRDefault="00443553" w:rsidP="00155FA0">
            <w:pPr>
              <w:spacing w:after="0" w:line="240" w:lineRule="auto"/>
              <w:jc w:val="both"/>
              <w:rPr>
                <w:rFonts w:cs="Arial"/>
                <w:b/>
                <w:color w:val="FFFFFF"/>
                <w:sz w:val="24"/>
                <w:szCs w:val="24"/>
              </w:rPr>
            </w:pPr>
            <w:r>
              <w:rPr>
                <w:rFonts w:cs="Arial"/>
                <w:b/>
                <w:color w:val="FFFFFF"/>
                <w:sz w:val="24"/>
                <w:szCs w:val="24"/>
              </w:rPr>
              <w:t>5.</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63684A95" w14:textId="77777777" w:rsidR="00C7543A" w:rsidRDefault="00C7543A" w:rsidP="00155FA0">
            <w:pPr>
              <w:spacing w:after="0" w:line="240" w:lineRule="auto"/>
              <w:jc w:val="both"/>
              <w:rPr>
                <w:rFonts w:cs="Arial"/>
                <w:b/>
                <w:color w:val="FFFFFF"/>
                <w:sz w:val="24"/>
                <w:szCs w:val="24"/>
              </w:rPr>
            </w:pPr>
            <w:r>
              <w:rPr>
                <w:rFonts w:cs="Arial"/>
                <w:b/>
                <w:color w:val="FFFFFF"/>
                <w:sz w:val="24"/>
                <w:szCs w:val="24"/>
              </w:rPr>
              <w:t>Managed Transfers</w:t>
            </w:r>
          </w:p>
        </w:tc>
      </w:tr>
      <w:tr w:rsidR="00443553" w:rsidRPr="004D512B" w14:paraId="69AE3F65"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auto"/>
          </w:tcPr>
          <w:p w14:paraId="74504A8D" w14:textId="77777777" w:rsidR="007C1EF0" w:rsidRDefault="007C1EF0" w:rsidP="007C1EF0">
            <w:pPr>
              <w:spacing w:after="0" w:line="240" w:lineRule="auto"/>
              <w:jc w:val="both"/>
              <w:rPr>
                <w:rFonts w:cs="Arial"/>
                <w:szCs w:val="24"/>
              </w:rPr>
            </w:pPr>
            <w:r>
              <w:rPr>
                <w:rFonts w:cs="Arial"/>
                <w:szCs w:val="24"/>
              </w:rPr>
              <w:t>5.1</w:t>
            </w:r>
          </w:p>
          <w:p w14:paraId="4748FFFA" w14:textId="77777777" w:rsidR="007C1EF0" w:rsidRDefault="007C1EF0" w:rsidP="007C1EF0">
            <w:pPr>
              <w:spacing w:after="0" w:line="240" w:lineRule="auto"/>
              <w:jc w:val="both"/>
              <w:rPr>
                <w:rFonts w:cs="Arial"/>
                <w:szCs w:val="24"/>
              </w:rPr>
            </w:pPr>
          </w:p>
          <w:p w14:paraId="5691044B" w14:textId="77777777" w:rsidR="007C1EF0" w:rsidRDefault="007C1EF0" w:rsidP="007C1EF0">
            <w:pPr>
              <w:spacing w:after="0" w:line="240" w:lineRule="auto"/>
              <w:jc w:val="both"/>
              <w:rPr>
                <w:rFonts w:cs="Arial"/>
                <w:szCs w:val="24"/>
              </w:rPr>
            </w:pPr>
          </w:p>
          <w:p w14:paraId="145E8F5C" w14:textId="77777777" w:rsidR="007C1EF0" w:rsidRDefault="007C1EF0" w:rsidP="007C1EF0">
            <w:pPr>
              <w:spacing w:after="0" w:line="240" w:lineRule="auto"/>
              <w:jc w:val="both"/>
              <w:rPr>
                <w:rFonts w:cs="Arial"/>
                <w:szCs w:val="24"/>
              </w:rPr>
            </w:pPr>
          </w:p>
          <w:p w14:paraId="0AAE754C" w14:textId="77777777" w:rsidR="00470657" w:rsidRDefault="00470657" w:rsidP="007C1EF0">
            <w:pPr>
              <w:spacing w:after="0" w:line="240" w:lineRule="auto"/>
              <w:jc w:val="both"/>
              <w:rPr>
                <w:rFonts w:cs="Arial"/>
                <w:szCs w:val="24"/>
              </w:rPr>
            </w:pPr>
          </w:p>
          <w:p w14:paraId="7FCEFE95" w14:textId="6D302B17" w:rsidR="007C1EF0" w:rsidRDefault="007C1EF0" w:rsidP="007C1EF0">
            <w:pPr>
              <w:spacing w:after="0" w:line="240" w:lineRule="auto"/>
              <w:jc w:val="both"/>
              <w:rPr>
                <w:rFonts w:cs="Arial"/>
                <w:szCs w:val="24"/>
              </w:rPr>
            </w:pPr>
          </w:p>
          <w:p w14:paraId="4309A9B1" w14:textId="77777777" w:rsidR="007C1EF0" w:rsidRDefault="007C1EF0" w:rsidP="007C1EF0">
            <w:pPr>
              <w:spacing w:after="0" w:line="240" w:lineRule="auto"/>
              <w:jc w:val="both"/>
              <w:rPr>
                <w:rFonts w:cs="Arial"/>
                <w:szCs w:val="24"/>
              </w:rPr>
            </w:pPr>
            <w:r>
              <w:rPr>
                <w:rFonts w:cs="Arial"/>
                <w:szCs w:val="24"/>
              </w:rPr>
              <w:t>5.2</w:t>
            </w:r>
          </w:p>
          <w:p w14:paraId="64BFC609" w14:textId="77777777" w:rsidR="007C1EF0" w:rsidRDefault="007C1EF0" w:rsidP="007C1EF0">
            <w:pPr>
              <w:spacing w:after="0" w:line="240" w:lineRule="auto"/>
              <w:jc w:val="both"/>
              <w:rPr>
                <w:rFonts w:cs="Arial"/>
                <w:szCs w:val="24"/>
              </w:rPr>
            </w:pPr>
          </w:p>
          <w:p w14:paraId="2C1D4633" w14:textId="77777777" w:rsidR="007C1EF0" w:rsidRDefault="00750199" w:rsidP="007C1EF0">
            <w:pPr>
              <w:spacing w:after="0" w:line="240" w:lineRule="auto"/>
              <w:jc w:val="both"/>
              <w:rPr>
                <w:rFonts w:cs="Arial"/>
                <w:szCs w:val="24"/>
              </w:rPr>
            </w:pPr>
            <w:r>
              <w:rPr>
                <w:rFonts w:cs="Arial"/>
                <w:szCs w:val="24"/>
              </w:rPr>
              <w:t>5</w:t>
            </w:r>
            <w:r w:rsidR="007C1EF0">
              <w:rPr>
                <w:rFonts w:cs="Arial"/>
                <w:szCs w:val="24"/>
              </w:rPr>
              <w:t>.2.1</w:t>
            </w:r>
          </w:p>
          <w:p w14:paraId="7A1AE0D3" w14:textId="77777777" w:rsidR="007C1EF0" w:rsidRDefault="007C1EF0" w:rsidP="007C1EF0">
            <w:pPr>
              <w:spacing w:after="0" w:line="240" w:lineRule="auto"/>
              <w:jc w:val="both"/>
              <w:rPr>
                <w:rFonts w:cs="Arial"/>
                <w:szCs w:val="24"/>
              </w:rPr>
            </w:pPr>
          </w:p>
          <w:p w14:paraId="742FF7BC" w14:textId="77777777" w:rsidR="00443553" w:rsidRDefault="00443553"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6F3FD584" w14:textId="4F9D2CDC" w:rsidR="007C1EF0" w:rsidRDefault="00DE0CBF" w:rsidP="00750199">
            <w:pPr>
              <w:pStyle w:val="TableParagraph"/>
              <w:ind w:left="0"/>
              <w:jc w:val="both"/>
            </w:pPr>
            <w:r>
              <w:t xml:space="preserve">A proportion of </w:t>
            </w:r>
            <w:r w:rsidR="00470657">
              <w:t xml:space="preserve">WCH housing stock may also be offered to eligible WCH applicants by way of Managed Transfer. This occurs through </w:t>
            </w:r>
            <w:r w:rsidR="007C1EF0">
              <w:t>WCH</w:t>
            </w:r>
            <w:r w:rsidR="00470657">
              <w:t>, on occasion,</w:t>
            </w:r>
            <w:r w:rsidR="007C1EF0">
              <w:t xml:space="preserve"> identify</w:t>
            </w:r>
            <w:r w:rsidR="00470657">
              <w:t>ing</w:t>
            </w:r>
            <w:r w:rsidR="007C1EF0">
              <w:t xml:space="preserve"> circumstances where a priority move warrants a direct allocation/let from </w:t>
            </w:r>
            <w:r w:rsidR="00470657">
              <w:t xml:space="preserve">this </w:t>
            </w:r>
            <w:r w:rsidR="007C1EF0">
              <w:t>stock. Managed Transfers are generally approved by the WCH Housing Panel to ensure cases are approached consistently.</w:t>
            </w:r>
          </w:p>
          <w:p w14:paraId="7EEF0A48" w14:textId="77777777" w:rsidR="007C1EF0" w:rsidRDefault="007C1EF0" w:rsidP="007C1EF0">
            <w:pPr>
              <w:pStyle w:val="TableParagraph"/>
              <w:ind w:left="0"/>
              <w:jc w:val="both"/>
              <w:rPr>
                <w:b/>
              </w:rPr>
            </w:pPr>
          </w:p>
          <w:p w14:paraId="336A6A90" w14:textId="77777777" w:rsidR="007C1EF0" w:rsidRPr="00401F60" w:rsidRDefault="007C1EF0" w:rsidP="007C1EF0">
            <w:pPr>
              <w:pStyle w:val="TableParagraph"/>
              <w:ind w:left="0"/>
              <w:jc w:val="both"/>
              <w:rPr>
                <w:b/>
              </w:rPr>
            </w:pPr>
            <w:r w:rsidRPr="00401F60">
              <w:rPr>
                <w:b/>
              </w:rPr>
              <w:t>Appropriate Cases</w:t>
            </w:r>
          </w:p>
          <w:p w14:paraId="1486DA47" w14:textId="77777777" w:rsidR="007C1EF0" w:rsidRPr="00E968A9" w:rsidRDefault="007C1EF0" w:rsidP="007C1EF0">
            <w:pPr>
              <w:pStyle w:val="TableParagraph"/>
              <w:ind w:left="0"/>
              <w:jc w:val="both"/>
              <w:rPr>
                <w:u w:val="single"/>
              </w:rPr>
            </w:pPr>
          </w:p>
          <w:p w14:paraId="14707F9B" w14:textId="77777777" w:rsidR="007C1EF0" w:rsidRDefault="007C1EF0" w:rsidP="007C1EF0">
            <w:pPr>
              <w:spacing w:after="0" w:line="240" w:lineRule="auto"/>
              <w:jc w:val="both"/>
              <w:rPr>
                <w:rFonts w:cs="Arial"/>
              </w:rPr>
            </w:pPr>
            <w:r>
              <w:rPr>
                <w:rFonts w:cs="Arial"/>
              </w:rPr>
              <w:t xml:space="preserve">Managed Transfers may be made in cases of urgent or extreme housing need such as in cases </w:t>
            </w:r>
            <w:proofErr w:type="gramStart"/>
            <w:r>
              <w:rPr>
                <w:rFonts w:cs="Arial"/>
              </w:rPr>
              <w:t>of:-</w:t>
            </w:r>
            <w:proofErr w:type="gramEnd"/>
          </w:p>
          <w:p w14:paraId="3ADC1E6C" w14:textId="77777777" w:rsidR="007C1EF0" w:rsidRDefault="007C1EF0" w:rsidP="007C1EF0">
            <w:pPr>
              <w:spacing w:after="0" w:line="240" w:lineRule="auto"/>
              <w:jc w:val="both"/>
              <w:rPr>
                <w:rFonts w:cs="Arial"/>
              </w:rPr>
            </w:pPr>
          </w:p>
          <w:p w14:paraId="2987E928" w14:textId="77777777" w:rsidR="007C1EF0" w:rsidRDefault="007C1EF0" w:rsidP="007C1EF0">
            <w:pPr>
              <w:pStyle w:val="ListParagraph"/>
              <w:numPr>
                <w:ilvl w:val="0"/>
                <w:numId w:val="11"/>
              </w:numPr>
              <w:spacing w:after="0" w:line="240" w:lineRule="auto"/>
              <w:jc w:val="both"/>
              <w:rPr>
                <w:rFonts w:cs="Arial"/>
              </w:rPr>
            </w:pPr>
            <w:r>
              <w:rPr>
                <w:rFonts w:cs="Arial"/>
              </w:rPr>
              <w:t>Domestic abuse;</w:t>
            </w:r>
          </w:p>
          <w:p w14:paraId="5E0867CA" w14:textId="77777777" w:rsidR="007C1EF0" w:rsidRDefault="007C1EF0" w:rsidP="007C1EF0">
            <w:pPr>
              <w:pStyle w:val="ListParagraph"/>
              <w:numPr>
                <w:ilvl w:val="0"/>
                <w:numId w:val="11"/>
              </w:numPr>
              <w:spacing w:after="0" w:line="240" w:lineRule="auto"/>
              <w:jc w:val="both"/>
              <w:rPr>
                <w:rFonts w:cs="Arial"/>
              </w:rPr>
            </w:pPr>
            <w:r>
              <w:rPr>
                <w:rFonts w:cs="Arial"/>
              </w:rPr>
              <w:t>Harassment or hate crime;</w:t>
            </w:r>
          </w:p>
          <w:p w14:paraId="03829C6F" w14:textId="77777777" w:rsidR="007C1EF0" w:rsidRDefault="007C1EF0" w:rsidP="007C1EF0">
            <w:pPr>
              <w:pStyle w:val="ListParagraph"/>
              <w:numPr>
                <w:ilvl w:val="0"/>
                <w:numId w:val="11"/>
              </w:numPr>
              <w:spacing w:after="0" w:line="240" w:lineRule="auto"/>
              <w:jc w:val="both"/>
              <w:rPr>
                <w:rFonts w:cs="Arial"/>
              </w:rPr>
            </w:pPr>
            <w:r>
              <w:rPr>
                <w:rFonts w:cs="Arial"/>
              </w:rPr>
              <w:t xml:space="preserve">Serious anti-social behaviour; </w:t>
            </w:r>
          </w:p>
          <w:p w14:paraId="44B7FEF4" w14:textId="77777777" w:rsidR="007C1EF0" w:rsidRDefault="00470657" w:rsidP="007C1EF0">
            <w:pPr>
              <w:pStyle w:val="ListParagraph"/>
              <w:numPr>
                <w:ilvl w:val="0"/>
                <w:numId w:val="11"/>
              </w:numPr>
              <w:spacing w:after="0" w:line="240" w:lineRule="auto"/>
              <w:jc w:val="both"/>
              <w:rPr>
                <w:rFonts w:cs="Arial"/>
              </w:rPr>
            </w:pPr>
            <w:r>
              <w:rPr>
                <w:rFonts w:cs="Arial"/>
              </w:rPr>
              <w:t>U</w:t>
            </w:r>
            <w:r w:rsidR="007C1EF0">
              <w:rPr>
                <w:rFonts w:cs="Arial"/>
              </w:rPr>
              <w:t>rgent medical need;</w:t>
            </w:r>
          </w:p>
          <w:p w14:paraId="61BCAC0F" w14:textId="77777777" w:rsidR="007C1EF0" w:rsidRDefault="007C1EF0" w:rsidP="007C1EF0">
            <w:pPr>
              <w:pStyle w:val="ListParagraph"/>
              <w:numPr>
                <w:ilvl w:val="0"/>
                <w:numId w:val="11"/>
              </w:numPr>
              <w:spacing w:after="0" w:line="240" w:lineRule="auto"/>
              <w:jc w:val="both"/>
              <w:rPr>
                <w:rFonts w:cs="Arial"/>
              </w:rPr>
            </w:pPr>
            <w:r>
              <w:rPr>
                <w:rFonts w:cs="Arial"/>
              </w:rPr>
              <w:t>Other significant threat to a person’s safety or wellbeing;</w:t>
            </w:r>
          </w:p>
          <w:p w14:paraId="1E2197FD" w14:textId="59461D93" w:rsidR="007C1EF0" w:rsidRDefault="00470657" w:rsidP="007C1EF0">
            <w:pPr>
              <w:pStyle w:val="ListParagraph"/>
              <w:numPr>
                <w:ilvl w:val="0"/>
                <w:numId w:val="11"/>
              </w:numPr>
              <w:spacing w:after="0" w:line="240" w:lineRule="auto"/>
              <w:jc w:val="both"/>
              <w:rPr>
                <w:rFonts w:cs="Arial"/>
              </w:rPr>
            </w:pPr>
            <w:r>
              <w:rPr>
                <w:rFonts w:cs="Arial"/>
              </w:rPr>
              <w:t xml:space="preserve">A </w:t>
            </w:r>
            <w:r w:rsidR="007C1EF0" w:rsidRPr="00E968A9">
              <w:rPr>
                <w:rFonts w:cs="Arial"/>
              </w:rPr>
              <w:t xml:space="preserve">permanent </w:t>
            </w:r>
            <w:r w:rsidR="007C1EF0">
              <w:rPr>
                <w:rFonts w:cs="Arial"/>
              </w:rPr>
              <w:t>decant situation (</w:t>
            </w:r>
            <w:r>
              <w:rPr>
                <w:rFonts w:cs="Arial"/>
              </w:rPr>
              <w:t xml:space="preserve">in which case </w:t>
            </w:r>
            <w:r w:rsidR="007C1EF0">
              <w:rPr>
                <w:rFonts w:cs="Arial"/>
              </w:rPr>
              <w:t xml:space="preserve">see </w:t>
            </w:r>
            <w:r>
              <w:rPr>
                <w:rFonts w:cs="Arial"/>
              </w:rPr>
              <w:t xml:space="preserve">also </w:t>
            </w:r>
            <w:r w:rsidR="007C1EF0">
              <w:rPr>
                <w:rFonts w:cs="Arial"/>
              </w:rPr>
              <w:t xml:space="preserve">the Decant Policy); </w:t>
            </w:r>
          </w:p>
          <w:p w14:paraId="09D084E7" w14:textId="0D1A260C" w:rsidR="007C1EF0" w:rsidRPr="00E968A9" w:rsidRDefault="007C1EF0" w:rsidP="007C1EF0">
            <w:pPr>
              <w:pStyle w:val="ListParagraph"/>
              <w:numPr>
                <w:ilvl w:val="0"/>
                <w:numId w:val="11"/>
              </w:numPr>
              <w:spacing w:after="0" w:line="240" w:lineRule="auto"/>
              <w:jc w:val="both"/>
              <w:rPr>
                <w:b/>
              </w:rPr>
            </w:pPr>
            <w:r w:rsidRPr="00CE0D86">
              <w:t>To facilitate the move of</w:t>
            </w:r>
            <w:r>
              <w:t xml:space="preserve"> </w:t>
            </w:r>
            <w:r w:rsidR="00470657">
              <w:t xml:space="preserve">a </w:t>
            </w:r>
            <w:r>
              <w:t xml:space="preserve">non-statutory successor </w:t>
            </w:r>
            <w:r w:rsidR="007348C9">
              <w:t>customer</w:t>
            </w:r>
            <w:r>
              <w:t xml:space="preserve"> from</w:t>
            </w:r>
            <w:r w:rsidRPr="00CE0D86">
              <w:t xml:space="preserve"> unsuitable accommodation</w:t>
            </w:r>
            <w:r>
              <w:t xml:space="preserve"> (</w:t>
            </w:r>
            <w:r w:rsidR="00470657">
              <w:t xml:space="preserve">in which case </w:t>
            </w:r>
            <w:r>
              <w:t>see the Succession Polic</w:t>
            </w:r>
            <w:r w:rsidR="00DE0CBF">
              <w:t>y</w:t>
            </w:r>
            <w:r>
              <w:t>); or</w:t>
            </w:r>
          </w:p>
          <w:p w14:paraId="24303D59" w14:textId="0B3F359F" w:rsidR="00443553" w:rsidRPr="005C58EA" w:rsidRDefault="007C1EF0" w:rsidP="00155FA0">
            <w:pPr>
              <w:pStyle w:val="ListParagraph"/>
              <w:numPr>
                <w:ilvl w:val="0"/>
                <w:numId w:val="11"/>
              </w:numPr>
              <w:spacing w:after="0" w:line="240" w:lineRule="auto"/>
              <w:jc w:val="both"/>
              <w:rPr>
                <w:b/>
              </w:rPr>
            </w:pPr>
            <w:r>
              <w:t xml:space="preserve">Where a </w:t>
            </w:r>
            <w:r w:rsidR="007348C9">
              <w:t>customer</w:t>
            </w:r>
            <w:r>
              <w:t xml:space="preserve"> in extreme housing difficulty would be considered statutorily homeless without alternative accommodation and suitable accommodation is available within WCH housing stock.</w:t>
            </w:r>
          </w:p>
        </w:tc>
      </w:tr>
      <w:tr w:rsidR="00443553" w:rsidRPr="004D512B" w14:paraId="3BBEEAED"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auto"/>
          </w:tcPr>
          <w:p w14:paraId="5CC2EB25" w14:textId="77777777" w:rsidR="007C1EF0" w:rsidRDefault="007C1EF0" w:rsidP="007C1EF0">
            <w:pPr>
              <w:spacing w:after="0" w:line="240" w:lineRule="auto"/>
              <w:jc w:val="both"/>
              <w:rPr>
                <w:rFonts w:cs="Arial"/>
                <w:szCs w:val="24"/>
              </w:rPr>
            </w:pPr>
            <w:r>
              <w:rPr>
                <w:rFonts w:cs="Arial"/>
                <w:szCs w:val="24"/>
              </w:rPr>
              <w:lastRenderedPageBreak/>
              <w:t>5.3</w:t>
            </w:r>
          </w:p>
          <w:p w14:paraId="3CC3C208" w14:textId="77777777" w:rsidR="00443553" w:rsidRDefault="00443553"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3CF793B5" w14:textId="77777777" w:rsidR="009372DE" w:rsidRDefault="009372DE" w:rsidP="009372DE">
            <w:pPr>
              <w:spacing w:after="0" w:line="240" w:lineRule="auto"/>
              <w:jc w:val="both"/>
              <w:rPr>
                <w:rFonts w:cs="Arial"/>
                <w:szCs w:val="24"/>
              </w:rPr>
            </w:pPr>
            <w:r>
              <w:rPr>
                <w:rFonts w:cs="Arial"/>
                <w:szCs w:val="24"/>
              </w:rPr>
              <w:t>Please see section</w:t>
            </w:r>
            <w:r w:rsidR="00750199">
              <w:rPr>
                <w:rFonts w:cs="Arial"/>
                <w:szCs w:val="24"/>
              </w:rPr>
              <w:t xml:space="preserve"> </w:t>
            </w:r>
            <w:r>
              <w:rPr>
                <w:rFonts w:cs="Arial"/>
                <w:szCs w:val="24"/>
              </w:rPr>
              <w:t xml:space="preserve">10.3 </w:t>
            </w:r>
            <w:r w:rsidR="007C1EF0">
              <w:rPr>
                <w:rFonts w:cs="Arial"/>
                <w:szCs w:val="24"/>
              </w:rPr>
              <w:t xml:space="preserve">of the Access to Housing Policy &amp; Procedure </w:t>
            </w:r>
            <w:r>
              <w:rPr>
                <w:rFonts w:cs="Arial"/>
                <w:szCs w:val="24"/>
              </w:rPr>
              <w:t>for details o</w:t>
            </w:r>
            <w:r w:rsidR="00CB73DC">
              <w:rPr>
                <w:rFonts w:cs="Arial"/>
                <w:szCs w:val="24"/>
              </w:rPr>
              <w:t>f</w:t>
            </w:r>
            <w:r>
              <w:rPr>
                <w:rFonts w:cs="Arial"/>
                <w:szCs w:val="24"/>
              </w:rPr>
              <w:t xml:space="preserve"> the Managed Transfer </w:t>
            </w:r>
            <w:r w:rsidRPr="00F86093">
              <w:rPr>
                <w:rFonts w:cs="Arial"/>
                <w:b/>
                <w:szCs w:val="24"/>
              </w:rPr>
              <w:t>process</w:t>
            </w:r>
            <w:r>
              <w:rPr>
                <w:rFonts w:cs="Arial"/>
                <w:szCs w:val="24"/>
              </w:rPr>
              <w:t>.</w:t>
            </w:r>
          </w:p>
          <w:p w14:paraId="00EA68B0" w14:textId="77777777" w:rsidR="00443553" w:rsidRDefault="00443553" w:rsidP="00155FA0">
            <w:pPr>
              <w:spacing w:after="0" w:line="240" w:lineRule="auto"/>
              <w:jc w:val="both"/>
              <w:rPr>
                <w:rFonts w:cs="Arial"/>
                <w:b/>
                <w:color w:val="FFFFFF"/>
                <w:sz w:val="24"/>
                <w:szCs w:val="24"/>
              </w:rPr>
            </w:pPr>
          </w:p>
        </w:tc>
      </w:tr>
      <w:tr w:rsidR="00477470" w:rsidRPr="004D512B" w14:paraId="191CFADC" w14:textId="77777777" w:rsidTr="00E76E16">
        <w:tc>
          <w:tcPr>
            <w:tcW w:w="889" w:type="dxa"/>
            <w:tcBorders>
              <w:top w:val="single" w:sz="4" w:space="0" w:color="auto"/>
              <w:left w:val="single" w:sz="4" w:space="0" w:color="auto"/>
              <w:bottom w:val="single" w:sz="4" w:space="0" w:color="auto"/>
              <w:right w:val="single" w:sz="4" w:space="0" w:color="auto"/>
            </w:tcBorders>
            <w:shd w:val="clear" w:color="auto" w:fill="7030A0"/>
          </w:tcPr>
          <w:p w14:paraId="2647486A" w14:textId="77777777" w:rsidR="00477470" w:rsidRPr="004D512B" w:rsidRDefault="00443553" w:rsidP="00155FA0">
            <w:pPr>
              <w:spacing w:after="0" w:line="240" w:lineRule="auto"/>
              <w:jc w:val="both"/>
              <w:rPr>
                <w:rFonts w:cs="Arial"/>
                <w:b/>
                <w:color w:val="FFFFFF"/>
                <w:sz w:val="24"/>
                <w:szCs w:val="24"/>
              </w:rPr>
            </w:pPr>
            <w:r>
              <w:rPr>
                <w:rFonts w:cs="Arial"/>
                <w:b/>
                <w:color w:val="FFFFFF"/>
                <w:sz w:val="24"/>
                <w:szCs w:val="24"/>
              </w:rPr>
              <w:t>6</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17B1BFEF" w14:textId="77777777" w:rsidR="00477470" w:rsidRPr="004D512B" w:rsidRDefault="00443553" w:rsidP="00443553">
            <w:pPr>
              <w:spacing w:after="0" w:line="240" w:lineRule="auto"/>
              <w:jc w:val="both"/>
              <w:rPr>
                <w:rFonts w:cs="Arial"/>
                <w:b/>
                <w:color w:val="FFFFFF"/>
                <w:sz w:val="24"/>
                <w:szCs w:val="24"/>
              </w:rPr>
            </w:pPr>
            <w:r>
              <w:rPr>
                <w:rFonts w:cs="Arial"/>
                <w:b/>
                <w:color w:val="FFFFFF"/>
                <w:sz w:val="24"/>
                <w:szCs w:val="24"/>
              </w:rPr>
              <w:t xml:space="preserve">Role of WCH Housing Panel </w:t>
            </w:r>
          </w:p>
        </w:tc>
      </w:tr>
      <w:tr w:rsidR="00BD7172" w:rsidRPr="004D512B" w14:paraId="5A116006" w14:textId="77777777" w:rsidTr="00E76E16">
        <w:tc>
          <w:tcPr>
            <w:tcW w:w="889" w:type="dxa"/>
            <w:tcBorders>
              <w:top w:val="single" w:sz="4" w:space="0" w:color="auto"/>
              <w:left w:val="single" w:sz="4" w:space="0" w:color="auto"/>
              <w:bottom w:val="single" w:sz="4" w:space="0" w:color="auto"/>
              <w:right w:val="single" w:sz="4" w:space="0" w:color="auto"/>
            </w:tcBorders>
          </w:tcPr>
          <w:p w14:paraId="07D084E5" w14:textId="77777777" w:rsidR="00BD7172" w:rsidRDefault="009372DE" w:rsidP="00BD7172">
            <w:pPr>
              <w:spacing w:after="0" w:line="240" w:lineRule="auto"/>
              <w:jc w:val="both"/>
              <w:rPr>
                <w:rFonts w:cs="Arial"/>
                <w:szCs w:val="24"/>
              </w:rPr>
            </w:pPr>
            <w:r>
              <w:rPr>
                <w:rFonts w:cs="Arial"/>
                <w:szCs w:val="24"/>
              </w:rPr>
              <w:t>6</w:t>
            </w:r>
            <w:r w:rsidR="000E6FE7">
              <w:rPr>
                <w:rFonts w:cs="Arial"/>
                <w:szCs w:val="24"/>
              </w:rPr>
              <w:t>.1</w:t>
            </w:r>
          </w:p>
          <w:p w14:paraId="6586F6CB" w14:textId="77777777" w:rsidR="00BD7172" w:rsidRDefault="00BD7172" w:rsidP="00BD7172">
            <w:pPr>
              <w:spacing w:after="0" w:line="240" w:lineRule="auto"/>
              <w:jc w:val="both"/>
              <w:rPr>
                <w:rFonts w:cs="Arial"/>
                <w:szCs w:val="24"/>
              </w:rPr>
            </w:pPr>
          </w:p>
          <w:p w14:paraId="05B6AD08" w14:textId="77777777" w:rsidR="009372DE" w:rsidRDefault="009372DE" w:rsidP="00BD7172">
            <w:pPr>
              <w:spacing w:after="0" w:line="240" w:lineRule="auto"/>
              <w:jc w:val="both"/>
              <w:rPr>
                <w:rFonts w:cs="Arial"/>
                <w:szCs w:val="24"/>
              </w:rPr>
            </w:pPr>
          </w:p>
          <w:p w14:paraId="4C18B2DE" w14:textId="77777777" w:rsidR="00394CB7" w:rsidRDefault="00394CB7" w:rsidP="00BD7172">
            <w:pPr>
              <w:spacing w:after="0" w:line="240" w:lineRule="auto"/>
              <w:jc w:val="both"/>
              <w:rPr>
                <w:rFonts w:cs="Arial"/>
                <w:szCs w:val="24"/>
              </w:rPr>
            </w:pPr>
          </w:p>
          <w:p w14:paraId="6A92D9DE" w14:textId="77777777" w:rsidR="00394CB7" w:rsidRDefault="00394CB7" w:rsidP="00BD7172">
            <w:pPr>
              <w:spacing w:after="0" w:line="240" w:lineRule="auto"/>
              <w:jc w:val="both"/>
              <w:rPr>
                <w:rFonts w:cs="Arial"/>
                <w:szCs w:val="24"/>
              </w:rPr>
            </w:pPr>
          </w:p>
          <w:p w14:paraId="1EBD1715" w14:textId="77777777" w:rsidR="00BD7172" w:rsidRDefault="00245EBF" w:rsidP="00BD7172">
            <w:pPr>
              <w:spacing w:after="0" w:line="240" w:lineRule="auto"/>
              <w:jc w:val="both"/>
              <w:rPr>
                <w:rFonts w:cs="Arial"/>
                <w:szCs w:val="24"/>
              </w:rPr>
            </w:pPr>
            <w:r>
              <w:rPr>
                <w:rFonts w:cs="Arial"/>
                <w:szCs w:val="24"/>
              </w:rPr>
              <w:t>6.2</w:t>
            </w:r>
          </w:p>
          <w:p w14:paraId="572B36A7" w14:textId="77777777" w:rsidR="0023632F" w:rsidRDefault="0023632F" w:rsidP="00BC6B09">
            <w:pPr>
              <w:spacing w:after="0" w:line="240" w:lineRule="auto"/>
              <w:jc w:val="both"/>
              <w:rPr>
                <w:rFonts w:cs="Arial"/>
                <w:szCs w:val="24"/>
              </w:rPr>
            </w:pPr>
          </w:p>
          <w:p w14:paraId="2FDC7D16" w14:textId="77777777" w:rsidR="00BC6B09" w:rsidRDefault="00BC6B09" w:rsidP="00BD7172">
            <w:pPr>
              <w:spacing w:after="0" w:line="240" w:lineRule="auto"/>
              <w:jc w:val="both"/>
              <w:rPr>
                <w:rFonts w:cs="Arial"/>
                <w:szCs w:val="24"/>
              </w:rPr>
            </w:pPr>
          </w:p>
          <w:p w14:paraId="38B7755B" w14:textId="77777777" w:rsidR="00BD7172" w:rsidRDefault="00BD7172" w:rsidP="00F45C8F">
            <w:pPr>
              <w:spacing w:after="0" w:line="240" w:lineRule="auto"/>
              <w:jc w:val="both"/>
              <w:rPr>
                <w:rFonts w:cs="Arial"/>
                <w:szCs w:val="24"/>
              </w:rPr>
            </w:pPr>
          </w:p>
          <w:p w14:paraId="2A4B3CB8" w14:textId="77777777" w:rsidR="00A93623" w:rsidRDefault="00A93623" w:rsidP="00F45C8F">
            <w:pPr>
              <w:spacing w:after="0" w:line="240" w:lineRule="auto"/>
              <w:jc w:val="both"/>
              <w:rPr>
                <w:rFonts w:cs="Arial"/>
                <w:szCs w:val="24"/>
              </w:rPr>
            </w:pPr>
            <w:r>
              <w:rPr>
                <w:rFonts w:cs="Arial"/>
                <w:szCs w:val="24"/>
              </w:rPr>
              <w:t>6.3</w:t>
            </w:r>
          </w:p>
          <w:p w14:paraId="2DA07E1A" w14:textId="77777777" w:rsidR="005D0828" w:rsidRDefault="005D0828" w:rsidP="00F45C8F">
            <w:pPr>
              <w:spacing w:after="0" w:line="240" w:lineRule="auto"/>
              <w:jc w:val="both"/>
              <w:rPr>
                <w:rFonts w:cs="Arial"/>
                <w:szCs w:val="24"/>
              </w:rPr>
            </w:pPr>
          </w:p>
          <w:p w14:paraId="2D53E7FA" w14:textId="77777777" w:rsidR="005D0828" w:rsidRDefault="005D0828" w:rsidP="00F45C8F">
            <w:pPr>
              <w:spacing w:after="0" w:line="240" w:lineRule="auto"/>
              <w:jc w:val="both"/>
              <w:rPr>
                <w:rFonts w:cs="Arial"/>
                <w:szCs w:val="24"/>
              </w:rPr>
            </w:pPr>
          </w:p>
          <w:p w14:paraId="0DA57A6B" w14:textId="77777777" w:rsidR="005D0828" w:rsidRDefault="005D0828" w:rsidP="00F45C8F">
            <w:pPr>
              <w:spacing w:after="0" w:line="240" w:lineRule="auto"/>
              <w:jc w:val="both"/>
              <w:rPr>
                <w:rFonts w:cs="Arial"/>
                <w:szCs w:val="24"/>
              </w:rPr>
            </w:pPr>
          </w:p>
          <w:p w14:paraId="711DFF05" w14:textId="46199254" w:rsidR="005D0828" w:rsidRDefault="005D0828" w:rsidP="00F45C8F">
            <w:pPr>
              <w:spacing w:after="0" w:line="240" w:lineRule="auto"/>
              <w:jc w:val="both"/>
              <w:rPr>
                <w:rFonts w:cs="Arial"/>
                <w:szCs w:val="24"/>
              </w:rPr>
            </w:pPr>
            <w:r>
              <w:rPr>
                <w:rFonts w:cs="Arial"/>
                <w:szCs w:val="24"/>
              </w:rPr>
              <w:t>6.4</w:t>
            </w:r>
          </w:p>
        </w:tc>
        <w:tc>
          <w:tcPr>
            <w:tcW w:w="8433" w:type="dxa"/>
            <w:gridSpan w:val="2"/>
            <w:tcBorders>
              <w:top w:val="single" w:sz="4" w:space="0" w:color="auto"/>
              <w:left w:val="single" w:sz="4" w:space="0" w:color="auto"/>
              <w:bottom w:val="single" w:sz="4" w:space="0" w:color="auto"/>
              <w:right w:val="single" w:sz="4" w:space="0" w:color="auto"/>
            </w:tcBorders>
          </w:tcPr>
          <w:p w14:paraId="26CD504A" w14:textId="6BC7ED9B" w:rsidR="00BD7172" w:rsidRPr="00381C0B" w:rsidRDefault="009372DE" w:rsidP="00BD7172">
            <w:pPr>
              <w:autoSpaceDE w:val="0"/>
              <w:autoSpaceDN w:val="0"/>
              <w:spacing w:after="0" w:line="240" w:lineRule="auto"/>
              <w:jc w:val="both"/>
            </w:pPr>
            <w:r>
              <w:t xml:space="preserve">Offers </w:t>
            </w:r>
            <w:r w:rsidR="007C1EF0">
              <w:t xml:space="preserve">of </w:t>
            </w:r>
            <w:r w:rsidR="00BD7172">
              <w:t xml:space="preserve">accommodation </w:t>
            </w:r>
            <w:r>
              <w:t xml:space="preserve">to Managed Transfer </w:t>
            </w:r>
            <w:r w:rsidR="007348C9">
              <w:t>customer</w:t>
            </w:r>
            <w:r>
              <w:t xml:space="preserve">s </w:t>
            </w:r>
            <w:r w:rsidR="00BD7172">
              <w:t>must be authorised by the Housing Panel before a new tenancy can be granted. This is to ensure th</w:t>
            </w:r>
            <w:r w:rsidR="00394CB7">
              <w:t xml:space="preserve">at cases are dealt with fairly and </w:t>
            </w:r>
            <w:r w:rsidR="00BD7172">
              <w:t>consistently</w:t>
            </w:r>
            <w:r w:rsidR="00394CB7">
              <w:t>, considering cost implications</w:t>
            </w:r>
            <w:r w:rsidR="00656652">
              <w:t xml:space="preserve">, whilst being in </w:t>
            </w:r>
            <w:r w:rsidR="00BD7172">
              <w:t>line with the Access to Housing Policy.</w:t>
            </w:r>
          </w:p>
          <w:p w14:paraId="2D8DE8E5" w14:textId="77777777" w:rsidR="00394CB7" w:rsidRDefault="00394CB7" w:rsidP="00750199">
            <w:pPr>
              <w:spacing w:after="0" w:line="240" w:lineRule="auto"/>
              <w:jc w:val="both"/>
            </w:pPr>
          </w:p>
          <w:p w14:paraId="382C7401" w14:textId="65619421" w:rsidR="00BD7172" w:rsidRPr="00D27790" w:rsidRDefault="005C58EA" w:rsidP="00750199">
            <w:pPr>
              <w:spacing w:after="0" w:line="240" w:lineRule="auto"/>
              <w:jc w:val="both"/>
            </w:pPr>
            <w:r>
              <w:t xml:space="preserve">A </w:t>
            </w:r>
            <w:r w:rsidR="00245EBF">
              <w:t xml:space="preserve">Managed Transfer </w:t>
            </w:r>
            <w:r w:rsidR="007348C9">
              <w:t>customer</w:t>
            </w:r>
            <w:r w:rsidR="00245EBF">
              <w:t xml:space="preserve">’s application for accommodation will generally be submitted by a </w:t>
            </w:r>
            <w:r w:rsidR="00245EBF">
              <w:rPr>
                <w:b/>
              </w:rPr>
              <w:t xml:space="preserve">Neighbourhood Officer or </w:t>
            </w:r>
            <w:r w:rsidR="00245EBF">
              <w:t xml:space="preserve">(in the case of </w:t>
            </w:r>
            <w:r w:rsidR="00DE0CBF">
              <w:t xml:space="preserve">Independent </w:t>
            </w:r>
            <w:proofErr w:type="gramStart"/>
            <w:r w:rsidR="00DE0CBF">
              <w:t xml:space="preserve">Living </w:t>
            </w:r>
            <w:r w:rsidR="00245EBF">
              <w:t xml:space="preserve"> o</w:t>
            </w:r>
            <w:r w:rsidR="00DE0CBF">
              <w:t>r</w:t>
            </w:r>
            <w:proofErr w:type="gramEnd"/>
            <w:r w:rsidR="00245EBF">
              <w:t xml:space="preserve"> </w:t>
            </w:r>
            <w:proofErr w:type="spellStart"/>
            <w:r w:rsidR="00245EBF">
              <w:t>Flexicare</w:t>
            </w:r>
            <w:proofErr w:type="spellEnd"/>
            <w:r w:rsidR="00245EBF">
              <w:t xml:space="preserve"> accommodation) a </w:t>
            </w:r>
            <w:r w:rsidR="00245EBF">
              <w:rPr>
                <w:b/>
              </w:rPr>
              <w:t>Scheme Officer</w:t>
            </w:r>
            <w:r w:rsidR="0023632F">
              <w:rPr>
                <w:b/>
              </w:rPr>
              <w:t xml:space="preserve"> </w:t>
            </w:r>
            <w:r w:rsidR="0023632F">
              <w:t>(“the Presenting Officer”)</w:t>
            </w:r>
            <w:r w:rsidR="00D27790">
              <w:t>.</w:t>
            </w:r>
          </w:p>
          <w:p w14:paraId="1C6B29E6" w14:textId="77777777" w:rsidR="00A93623" w:rsidRDefault="00A93623" w:rsidP="00750199">
            <w:pPr>
              <w:spacing w:after="0" w:line="240" w:lineRule="auto"/>
              <w:jc w:val="both"/>
              <w:rPr>
                <w:b/>
              </w:rPr>
            </w:pPr>
          </w:p>
          <w:p w14:paraId="563326BC" w14:textId="71E4628D" w:rsidR="00A93623" w:rsidRDefault="00A93623" w:rsidP="00750199">
            <w:pPr>
              <w:spacing w:after="0" w:line="240" w:lineRule="auto"/>
              <w:jc w:val="both"/>
            </w:pPr>
            <w:r>
              <w:t>In exceptional circumstances, cases of succession will be bought to the Housing Panel by the delegated Neighbourhood Officer. For further guidance see the Succession Policy</w:t>
            </w:r>
            <w:r w:rsidR="00F86093">
              <w:t xml:space="preserve"> &amp; Procedure</w:t>
            </w:r>
            <w:r>
              <w:t xml:space="preserve">. </w:t>
            </w:r>
          </w:p>
          <w:p w14:paraId="61A59E80" w14:textId="45364F6A" w:rsidR="005D0828" w:rsidRDefault="005D0828" w:rsidP="00750199">
            <w:pPr>
              <w:spacing w:after="0" w:line="240" w:lineRule="auto"/>
              <w:jc w:val="both"/>
            </w:pPr>
          </w:p>
          <w:p w14:paraId="4F917FAE" w14:textId="4B7F050C" w:rsidR="005D0828" w:rsidRPr="00A93623" w:rsidRDefault="005D0828" w:rsidP="00750199">
            <w:pPr>
              <w:spacing w:after="0" w:line="240" w:lineRule="auto"/>
              <w:jc w:val="both"/>
            </w:pPr>
            <w:r>
              <w:t>Referrals for Hard to Let Accommodation will be considered by the Housing Panel.</w:t>
            </w:r>
          </w:p>
          <w:p w14:paraId="0361CD65" w14:textId="77777777" w:rsidR="00BD7172" w:rsidRPr="007D0AC8" w:rsidRDefault="00BD7172" w:rsidP="00BD7172">
            <w:pPr>
              <w:spacing w:after="0" w:line="240" w:lineRule="auto"/>
              <w:jc w:val="both"/>
              <w:rPr>
                <w:rFonts w:cs="Arial"/>
                <w:b/>
                <w:szCs w:val="24"/>
              </w:rPr>
            </w:pPr>
          </w:p>
        </w:tc>
      </w:tr>
      <w:tr w:rsidR="00BC6B09" w:rsidRPr="004D512B" w14:paraId="48E0DD10" w14:textId="77777777" w:rsidTr="00E76E16">
        <w:tc>
          <w:tcPr>
            <w:tcW w:w="889" w:type="dxa"/>
            <w:tcBorders>
              <w:top w:val="single" w:sz="4" w:space="0" w:color="auto"/>
              <w:left w:val="single" w:sz="4" w:space="0" w:color="auto"/>
              <w:bottom w:val="single" w:sz="4" w:space="0" w:color="auto"/>
              <w:right w:val="single" w:sz="4" w:space="0" w:color="auto"/>
            </w:tcBorders>
            <w:shd w:val="clear" w:color="auto" w:fill="7030A0"/>
          </w:tcPr>
          <w:p w14:paraId="679DB931" w14:textId="77777777" w:rsidR="00BC6B09" w:rsidRDefault="00750199" w:rsidP="00155FA0">
            <w:pPr>
              <w:spacing w:after="0" w:line="240" w:lineRule="auto"/>
              <w:jc w:val="both"/>
              <w:rPr>
                <w:rFonts w:cs="Arial"/>
                <w:b/>
                <w:color w:val="FFFFFF"/>
                <w:sz w:val="24"/>
                <w:szCs w:val="24"/>
              </w:rPr>
            </w:pPr>
            <w:r>
              <w:rPr>
                <w:rFonts w:cs="Arial"/>
                <w:b/>
                <w:color w:val="FFFFFF"/>
                <w:sz w:val="24"/>
                <w:szCs w:val="24"/>
              </w:rPr>
              <w:t>7.</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28D68609" w14:textId="77777777" w:rsidR="00BC6B09" w:rsidRDefault="00750199" w:rsidP="00155FA0">
            <w:pPr>
              <w:spacing w:after="0" w:line="240" w:lineRule="auto"/>
              <w:jc w:val="both"/>
              <w:rPr>
                <w:rFonts w:cs="Arial"/>
                <w:b/>
                <w:color w:val="FFFFFF"/>
                <w:sz w:val="24"/>
                <w:szCs w:val="24"/>
              </w:rPr>
            </w:pPr>
            <w:r>
              <w:rPr>
                <w:rFonts w:cs="Arial"/>
                <w:b/>
                <w:color w:val="FFFFFF"/>
                <w:sz w:val="24"/>
                <w:szCs w:val="24"/>
              </w:rPr>
              <w:t>Presenting the Case to Housing Panel</w:t>
            </w:r>
          </w:p>
        </w:tc>
      </w:tr>
      <w:tr w:rsidR="00750199" w:rsidRPr="004D512B" w14:paraId="409938DF" w14:textId="77777777" w:rsidTr="00750199">
        <w:tc>
          <w:tcPr>
            <w:tcW w:w="889" w:type="dxa"/>
            <w:tcBorders>
              <w:top w:val="single" w:sz="4" w:space="0" w:color="auto"/>
              <w:left w:val="single" w:sz="4" w:space="0" w:color="auto"/>
              <w:bottom w:val="single" w:sz="4" w:space="0" w:color="auto"/>
              <w:right w:val="single" w:sz="4" w:space="0" w:color="auto"/>
            </w:tcBorders>
            <w:shd w:val="clear" w:color="auto" w:fill="auto"/>
          </w:tcPr>
          <w:p w14:paraId="758D87D3" w14:textId="77777777" w:rsidR="00750199" w:rsidRDefault="00750199" w:rsidP="00750199">
            <w:pPr>
              <w:spacing w:after="0" w:line="240" w:lineRule="auto"/>
              <w:jc w:val="both"/>
              <w:rPr>
                <w:rFonts w:cs="Arial"/>
                <w:szCs w:val="24"/>
              </w:rPr>
            </w:pPr>
            <w:r>
              <w:rPr>
                <w:rFonts w:cs="Arial"/>
                <w:szCs w:val="24"/>
              </w:rPr>
              <w:t>7.1.</w:t>
            </w:r>
          </w:p>
          <w:p w14:paraId="51A0A1C3" w14:textId="77777777" w:rsidR="00750199" w:rsidRDefault="0075019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23376AB8" w14:textId="77777777" w:rsidR="00750199" w:rsidRDefault="00D27790" w:rsidP="00750199">
            <w:pPr>
              <w:spacing w:after="0" w:line="240" w:lineRule="auto"/>
              <w:jc w:val="both"/>
            </w:pPr>
            <w:r>
              <w:t>To start an application to the Housing Panel, t</w:t>
            </w:r>
            <w:r w:rsidR="00750199" w:rsidRPr="00245EBF">
              <w:t xml:space="preserve">he </w:t>
            </w:r>
            <w:r w:rsidR="00750199">
              <w:t xml:space="preserve">Presenting Officer should prepare a pack of relevant information consisting of a fully completed </w:t>
            </w:r>
            <w:r w:rsidR="00750199" w:rsidRPr="00E13476">
              <w:t>Housing Panel</w:t>
            </w:r>
            <w:r w:rsidR="000E6FE7">
              <w:t xml:space="preserve"> S</w:t>
            </w:r>
            <w:r w:rsidR="00750199" w:rsidRPr="00E13476">
              <w:t>ummary Sheet</w:t>
            </w:r>
            <w:r w:rsidR="00750199">
              <w:t xml:space="preserve"> (see Appendix 1).</w:t>
            </w:r>
            <w:r w:rsidR="009C6293">
              <w:t xml:space="preserve"> Where possible, this information will be collected with the help of the customer and other external agencies. The customer should be made aware of what information and evidence is </w:t>
            </w:r>
            <w:r w:rsidR="00EE6EB8">
              <w:t xml:space="preserve">likely to be </w:t>
            </w:r>
            <w:r w:rsidR="009C6293">
              <w:t>required from them</w:t>
            </w:r>
            <w:r w:rsidR="00EE6EB8">
              <w:t xml:space="preserve"> by the Panel</w:t>
            </w:r>
            <w:r w:rsidR="009C6293">
              <w:t xml:space="preserve">. The process of the Housing Panel should also be explained to the customer. </w:t>
            </w:r>
          </w:p>
          <w:p w14:paraId="0613CC82" w14:textId="6F121187" w:rsidR="00DE0CBF" w:rsidRDefault="00DE0CBF" w:rsidP="00750199">
            <w:pPr>
              <w:spacing w:after="0" w:line="240" w:lineRule="auto"/>
              <w:jc w:val="both"/>
              <w:rPr>
                <w:rFonts w:cs="Arial"/>
                <w:b/>
                <w:color w:val="FFFFFF"/>
                <w:sz w:val="24"/>
                <w:szCs w:val="24"/>
              </w:rPr>
            </w:pPr>
          </w:p>
        </w:tc>
      </w:tr>
      <w:tr w:rsidR="00750199" w:rsidRPr="004D512B" w14:paraId="696DD9A7" w14:textId="77777777" w:rsidTr="00750199">
        <w:tc>
          <w:tcPr>
            <w:tcW w:w="889" w:type="dxa"/>
            <w:tcBorders>
              <w:top w:val="single" w:sz="4" w:space="0" w:color="auto"/>
              <w:left w:val="single" w:sz="4" w:space="0" w:color="auto"/>
              <w:bottom w:val="single" w:sz="4" w:space="0" w:color="auto"/>
              <w:right w:val="single" w:sz="4" w:space="0" w:color="auto"/>
            </w:tcBorders>
            <w:shd w:val="clear" w:color="auto" w:fill="auto"/>
          </w:tcPr>
          <w:p w14:paraId="51278BD7" w14:textId="77777777" w:rsidR="00750199" w:rsidRDefault="00750199" w:rsidP="00750199">
            <w:pPr>
              <w:spacing w:after="0" w:line="240" w:lineRule="auto"/>
              <w:jc w:val="both"/>
              <w:rPr>
                <w:rFonts w:cs="Arial"/>
                <w:szCs w:val="24"/>
              </w:rPr>
            </w:pPr>
            <w:r>
              <w:rPr>
                <w:rFonts w:cs="Arial"/>
                <w:szCs w:val="24"/>
              </w:rPr>
              <w:t>7.2</w:t>
            </w:r>
          </w:p>
          <w:p w14:paraId="752CA639" w14:textId="77777777" w:rsidR="00750199" w:rsidRDefault="0075019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4CF1C0DB" w14:textId="77777777" w:rsidR="00750199" w:rsidRDefault="00750199" w:rsidP="00750199">
            <w:pPr>
              <w:spacing w:after="0" w:line="240" w:lineRule="auto"/>
              <w:jc w:val="both"/>
            </w:pPr>
            <w:r>
              <w:t>The Housing Options team will update the ‘Panel Cases Spreadsheet’</w:t>
            </w:r>
            <w:r w:rsidR="000E6FE7">
              <w:t xml:space="preserve"> with details of the case</w:t>
            </w:r>
            <w:r>
              <w:t xml:space="preserve"> and monitor </w:t>
            </w:r>
            <w:r w:rsidR="000E6FE7">
              <w:t xml:space="preserve">its </w:t>
            </w:r>
            <w:r>
              <w:t>progress on a weekly basis against any available properties.</w:t>
            </w:r>
          </w:p>
          <w:p w14:paraId="71807DFA" w14:textId="77777777" w:rsidR="00750199" w:rsidRDefault="00750199" w:rsidP="00155FA0">
            <w:pPr>
              <w:spacing w:after="0" w:line="240" w:lineRule="auto"/>
              <w:jc w:val="both"/>
              <w:rPr>
                <w:rFonts w:cs="Arial"/>
                <w:b/>
                <w:color w:val="FFFFFF"/>
                <w:sz w:val="24"/>
                <w:szCs w:val="24"/>
              </w:rPr>
            </w:pPr>
          </w:p>
        </w:tc>
      </w:tr>
      <w:tr w:rsidR="00750199" w:rsidRPr="004D512B" w14:paraId="05D602BA" w14:textId="77777777" w:rsidTr="00750199">
        <w:tc>
          <w:tcPr>
            <w:tcW w:w="889" w:type="dxa"/>
            <w:tcBorders>
              <w:top w:val="single" w:sz="4" w:space="0" w:color="auto"/>
              <w:left w:val="single" w:sz="4" w:space="0" w:color="auto"/>
              <w:bottom w:val="single" w:sz="4" w:space="0" w:color="auto"/>
              <w:right w:val="single" w:sz="4" w:space="0" w:color="auto"/>
            </w:tcBorders>
            <w:shd w:val="clear" w:color="auto" w:fill="auto"/>
          </w:tcPr>
          <w:p w14:paraId="3643C2FF" w14:textId="77777777" w:rsidR="00750199" w:rsidRDefault="00750199" w:rsidP="00750199">
            <w:pPr>
              <w:spacing w:after="0" w:line="240" w:lineRule="auto"/>
              <w:jc w:val="both"/>
              <w:rPr>
                <w:rFonts w:cs="Arial"/>
                <w:szCs w:val="24"/>
              </w:rPr>
            </w:pPr>
            <w:r>
              <w:rPr>
                <w:rFonts w:cs="Arial"/>
                <w:szCs w:val="24"/>
              </w:rPr>
              <w:t>7.3</w:t>
            </w:r>
          </w:p>
          <w:p w14:paraId="609C769E" w14:textId="77777777" w:rsidR="000E6FE7" w:rsidRDefault="000E6FE7" w:rsidP="00750199">
            <w:pPr>
              <w:spacing w:after="0" w:line="240" w:lineRule="auto"/>
              <w:jc w:val="both"/>
              <w:rPr>
                <w:rFonts w:cs="Arial"/>
                <w:szCs w:val="24"/>
              </w:rPr>
            </w:pPr>
          </w:p>
          <w:p w14:paraId="6D7F7E43" w14:textId="77777777" w:rsidR="000E6FE7" w:rsidRDefault="000E6FE7" w:rsidP="00750199">
            <w:pPr>
              <w:spacing w:after="0" w:line="240" w:lineRule="auto"/>
              <w:jc w:val="both"/>
              <w:rPr>
                <w:rFonts w:cs="Arial"/>
                <w:szCs w:val="24"/>
              </w:rPr>
            </w:pPr>
            <w:r>
              <w:rPr>
                <w:rFonts w:cs="Arial"/>
                <w:szCs w:val="24"/>
              </w:rPr>
              <w:t>7.3.1</w:t>
            </w:r>
          </w:p>
          <w:p w14:paraId="4F1BBBA3" w14:textId="77777777" w:rsidR="00750199" w:rsidRDefault="0075019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75FA3A3F" w14:textId="77777777" w:rsidR="00750199" w:rsidRDefault="00750199" w:rsidP="00750199">
            <w:pPr>
              <w:spacing w:after="0" w:line="240" w:lineRule="auto"/>
              <w:jc w:val="both"/>
              <w:rPr>
                <w:u w:val="single"/>
              </w:rPr>
            </w:pPr>
            <w:r>
              <w:rPr>
                <w:u w:val="single"/>
              </w:rPr>
              <w:t>Completing the Summary Sheet</w:t>
            </w:r>
          </w:p>
          <w:p w14:paraId="1B998185" w14:textId="77777777" w:rsidR="00750199" w:rsidRDefault="00750199" w:rsidP="00750199">
            <w:pPr>
              <w:spacing w:after="0" w:line="240" w:lineRule="auto"/>
              <w:jc w:val="both"/>
            </w:pPr>
          </w:p>
          <w:p w14:paraId="6B0A7DE4" w14:textId="77777777" w:rsidR="00750199" w:rsidRDefault="00750199" w:rsidP="00750199">
            <w:pPr>
              <w:spacing w:after="0" w:line="240" w:lineRule="auto"/>
              <w:jc w:val="both"/>
            </w:pPr>
            <w:r>
              <w:t>T</w:t>
            </w:r>
            <w:r w:rsidRPr="00DE67A5">
              <w:t>he</w:t>
            </w:r>
            <w:r>
              <w:t xml:space="preserve"> </w:t>
            </w:r>
            <w:r w:rsidRPr="0023632F">
              <w:t>Presenting</w:t>
            </w:r>
            <w:r>
              <w:t xml:space="preserve"> Officer should complete all sections of the </w:t>
            </w:r>
            <w:r w:rsidR="000E6FE7">
              <w:t xml:space="preserve">Housing Panel </w:t>
            </w:r>
            <w:r>
              <w:t xml:space="preserve">Summary Sheet, in </w:t>
            </w:r>
            <w:proofErr w:type="gramStart"/>
            <w:r>
              <w:t>particular providing</w:t>
            </w:r>
            <w:proofErr w:type="gramEnd"/>
            <w:r>
              <w:t xml:space="preserve"> </w:t>
            </w:r>
            <w:r w:rsidR="000E6FE7">
              <w:t xml:space="preserve">full </w:t>
            </w:r>
            <w:r>
              <w:t xml:space="preserve">information </w:t>
            </w:r>
            <w:r w:rsidR="000E6FE7">
              <w:t>i</w:t>
            </w:r>
            <w:r>
              <w:t xml:space="preserve">n </w:t>
            </w:r>
            <w:r w:rsidR="000E6FE7">
              <w:t xml:space="preserve">relation to </w:t>
            </w:r>
            <w:r>
              <w:t xml:space="preserve">the ‘Reason(s) for Special Consideration’, with supporting evidence as required. The Reasons will need to cover the circumstances that are relevant to the application as set out at section 5.2.1 above. </w:t>
            </w:r>
          </w:p>
          <w:p w14:paraId="0C8C84F9" w14:textId="77777777" w:rsidR="00750199" w:rsidRDefault="00750199" w:rsidP="00155FA0">
            <w:pPr>
              <w:spacing w:after="0" w:line="240" w:lineRule="auto"/>
              <w:jc w:val="both"/>
              <w:rPr>
                <w:rFonts w:cs="Arial"/>
                <w:b/>
                <w:color w:val="FFFFFF"/>
                <w:sz w:val="24"/>
                <w:szCs w:val="24"/>
              </w:rPr>
            </w:pPr>
          </w:p>
        </w:tc>
      </w:tr>
      <w:tr w:rsidR="00750199" w:rsidRPr="004D512B" w14:paraId="4C7C1961" w14:textId="77777777" w:rsidTr="00750199">
        <w:tc>
          <w:tcPr>
            <w:tcW w:w="889" w:type="dxa"/>
            <w:tcBorders>
              <w:top w:val="single" w:sz="4" w:space="0" w:color="auto"/>
              <w:left w:val="single" w:sz="4" w:space="0" w:color="auto"/>
              <w:bottom w:val="single" w:sz="4" w:space="0" w:color="auto"/>
              <w:right w:val="single" w:sz="4" w:space="0" w:color="auto"/>
            </w:tcBorders>
            <w:shd w:val="clear" w:color="auto" w:fill="auto"/>
          </w:tcPr>
          <w:p w14:paraId="7E334ADF" w14:textId="77777777" w:rsidR="00750199" w:rsidRDefault="00750199" w:rsidP="00750199">
            <w:pPr>
              <w:spacing w:after="0" w:line="240" w:lineRule="auto"/>
              <w:jc w:val="both"/>
              <w:rPr>
                <w:rFonts w:cs="Arial"/>
                <w:szCs w:val="24"/>
              </w:rPr>
            </w:pPr>
            <w:r>
              <w:rPr>
                <w:rFonts w:cs="Arial"/>
                <w:szCs w:val="24"/>
              </w:rPr>
              <w:t>7.4</w:t>
            </w:r>
          </w:p>
          <w:p w14:paraId="10CC3AC9" w14:textId="77777777" w:rsidR="00750199" w:rsidRDefault="0075019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05F7E88C" w14:textId="77777777" w:rsidR="00750199" w:rsidRDefault="00750199" w:rsidP="00750199">
            <w:pPr>
              <w:spacing w:after="0" w:line="240" w:lineRule="auto"/>
              <w:jc w:val="both"/>
            </w:pPr>
            <w:r>
              <w:t>Supporting evidence should consist of</w:t>
            </w:r>
            <w:r w:rsidR="00F86093">
              <w:t xml:space="preserve"> at least the </w:t>
            </w:r>
            <w:proofErr w:type="gramStart"/>
            <w:r w:rsidR="00F86093">
              <w:t>following</w:t>
            </w:r>
            <w:r>
              <w:t xml:space="preserve"> :</w:t>
            </w:r>
            <w:proofErr w:type="gramEnd"/>
            <w:r>
              <w:t xml:space="preserve"> -</w:t>
            </w:r>
          </w:p>
          <w:p w14:paraId="12A0E6D4" w14:textId="77777777" w:rsidR="00750199" w:rsidRDefault="00750199" w:rsidP="00750199">
            <w:pPr>
              <w:spacing w:after="0" w:line="240" w:lineRule="auto"/>
              <w:jc w:val="both"/>
            </w:pPr>
          </w:p>
          <w:p w14:paraId="41C40DAF" w14:textId="77777777" w:rsidR="00750199" w:rsidRDefault="00750199" w:rsidP="00750199">
            <w:pPr>
              <w:pStyle w:val="ListParagraph"/>
              <w:numPr>
                <w:ilvl w:val="0"/>
                <w:numId w:val="9"/>
              </w:numPr>
              <w:spacing w:after="0" w:line="240" w:lineRule="auto"/>
              <w:jc w:val="both"/>
            </w:pPr>
            <w:r w:rsidRPr="00BC6B09">
              <w:rPr>
                <w:u w:val="single"/>
              </w:rPr>
              <w:t>Domestic abuse</w:t>
            </w:r>
            <w:r>
              <w:t xml:space="preserve"> - supporting statement(s) from the police and/or the Independent Domestic Violence Assessor (IDVA), Victim Support, the crime reference no;</w:t>
            </w:r>
          </w:p>
          <w:p w14:paraId="194DD508" w14:textId="77777777" w:rsidR="00750199" w:rsidRDefault="00750199" w:rsidP="00750199">
            <w:pPr>
              <w:pStyle w:val="ListParagraph"/>
              <w:numPr>
                <w:ilvl w:val="0"/>
                <w:numId w:val="9"/>
              </w:numPr>
              <w:spacing w:after="0" w:line="240" w:lineRule="auto"/>
              <w:jc w:val="both"/>
            </w:pPr>
            <w:r w:rsidRPr="00BC6B09">
              <w:rPr>
                <w:u w:val="single"/>
              </w:rPr>
              <w:t>Harassment &amp; hate crime / ASB / threat to safety or wellbeing</w:t>
            </w:r>
            <w:r>
              <w:t xml:space="preserve"> - supporting evidence in the form of a police report and crime reference number;</w:t>
            </w:r>
            <w:r w:rsidR="00F86093">
              <w:t xml:space="preserve"> and</w:t>
            </w:r>
          </w:p>
          <w:p w14:paraId="59F2614E" w14:textId="77777777" w:rsidR="00750199" w:rsidRDefault="00750199" w:rsidP="00750199">
            <w:pPr>
              <w:pStyle w:val="ListParagraph"/>
              <w:numPr>
                <w:ilvl w:val="0"/>
                <w:numId w:val="9"/>
              </w:numPr>
              <w:spacing w:after="0" w:line="240" w:lineRule="auto"/>
              <w:jc w:val="both"/>
            </w:pPr>
            <w:r w:rsidRPr="00BC6B09">
              <w:rPr>
                <w:u w:val="single"/>
              </w:rPr>
              <w:t>Urgent medical need</w:t>
            </w:r>
            <w:r>
              <w:t xml:space="preserve"> - supporting evidence about medical need and priority from qualified medical professional</w:t>
            </w:r>
            <w:r w:rsidR="00F86093">
              <w:t>.</w:t>
            </w:r>
          </w:p>
          <w:p w14:paraId="428BDF87" w14:textId="77777777" w:rsidR="00F86093" w:rsidRDefault="00F86093" w:rsidP="00F86093">
            <w:pPr>
              <w:spacing w:after="0" w:line="240" w:lineRule="auto"/>
              <w:jc w:val="both"/>
            </w:pPr>
          </w:p>
          <w:p w14:paraId="0B0B10FE" w14:textId="77777777" w:rsidR="00F86093" w:rsidRDefault="00F86093" w:rsidP="00F86093">
            <w:pPr>
              <w:spacing w:after="0" w:line="240" w:lineRule="auto"/>
              <w:jc w:val="both"/>
            </w:pPr>
            <w:r>
              <w:t>Further documentation should be provided as relevant to the application and individual’s circumstances.</w:t>
            </w:r>
          </w:p>
          <w:p w14:paraId="429796AC" w14:textId="77777777" w:rsidR="00750199" w:rsidRDefault="00750199" w:rsidP="00155FA0">
            <w:pPr>
              <w:spacing w:after="0" w:line="240" w:lineRule="auto"/>
              <w:jc w:val="both"/>
              <w:rPr>
                <w:rFonts w:cs="Arial"/>
                <w:b/>
                <w:color w:val="FFFFFF"/>
                <w:sz w:val="24"/>
                <w:szCs w:val="24"/>
              </w:rPr>
            </w:pPr>
          </w:p>
        </w:tc>
      </w:tr>
      <w:tr w:rsidR="00750199" w:rsidRPr="004D512B" w14:paraId="5795BC05" w14:textId="77777777" w:rsidTr="00750199">
        <w:tc>
          <w:tcPr>
            <w:tcW w:w="889" w:type="dxa"/>
            <w:tcBorders>
              <w:top w:val="single" w:sz="4" w:space="0" w:color="auto"/>
              <w:left w:val="single" w:sz="4" w:space="0" w:color="auto"/>
              <w:bottom w:val="single" w:sz="4" w:space="0" w:color="auto"/>
              <w:right w:val="single" w:sz="4" w:space="0" w:color="auto"/>
            </w:tcBorders>
            <w:shd w:val="clear" w:color="auto" w:fill="auto"/>
          </w:tcPr>
          <w:p w14:paraId="4FE6705C" w14:textId="77777777" w:rsidR="00750199" w:rsidRDefault="00750199" w:rsidP="00750199">
            <w:pPr>
              <w:spacing w:after="0" w:line="240" w:lineRule="auto"/>
              <w:jc w:val="both"/>
              <w:rPr>
                <w:rFonts w:cs="Arial"/>
                <w:szCs w:val="24"/>
              </w:rPr>
            </w:pPr>
            <w:r>
              <w:rPr>
                <w:rFonts w:cs="Arial"/>
                <w:szCs w:val="24"/>
              </w:rPr>
              <w:t>7.5</w:t>
            </w:r>
          </w:p>
          <w:p w14:paraId="56715642" w14:textId="77777777" w:rsidR="00750199" w:rsidRDefault="0075019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6678BC7A" w14:textId="77777777" w:rsidR="00750199" w:rsidRDefault="00750199" w:rsidP="000E6FE7">
            <w:pPr>
              <w:spacing w:after="0" w:line="240" w:lineRule="auto"/>
              <w:jc w:val="both"/>
            </w:pPr>
            <w:r>
              <w:t xml:space="preserve">The Presenting Officer’s line manager should then review the application and if they </w:t>
            </w:r>
            <w:proofErr w:type="gramStart"/>
            <w:r>
              <w:t>are in agreement</w:t>
            </w:r>
            <w:proofErr w:type="gramEnd"/>
            <w:r>
              <w:t xml:space="preserve"> with the Presenting Officer’s </w:t>
            </w:r>
            <w:r w:rsidR="000E6FE7">
              <w:t>recommendation</w:t>
            </w:r>
            <w:r w:rsidR="00CB73DC">
              <w:t xml:space="preserve">, approve the application. The line manager will then </w:t>
            </w:r>
            <w:r>
              <w:t xml:space="preserve">return the completed Summary Sheet </w:t>
            </w:r>
            <w:r w:rsidR="00CB73DC">
              <w:t xml:space="preserve">by email </w:t>
            </w:r>
            <w:r>
              <w:t>to the Presenting Officer for onwar</w:t>
            </w:r>
            <w:r w:rsidR="00CB73DC">
              <w:t>d referral to the Housing Panel</w:t>
            </w:r>
            <w:r w:rsidR="00326C00">
              <w:t>.</w:t>
            </w:r>
            <w:r w:rsidR="00CB73DC">
              <w:t xml:space="preserve"> </w:t>
            </w:r>
            <w:r>
              <w:t xml:space="preserve">The Presenting </w:t>
            </w:r>
            <w:r>
              <w:lastRenderedPageBreak/>
              <w:t xml:space="preserve">Officer </w:t>
            </w:r>
            <w:r w:rsidR="00CB73DC">
              <w:t xml:space="preserve">will then email the </w:t>
            </w:r>
            <w:r>
              <w:t>Summary Sheet and accompanying documentation to the Panel members to consi</w:t>
            </w:r>
            <w:r w:rsidR="00CB73DC">
              <w:t>der at the next available weekly Panel meeting</w:t>
            </w:r>
            <w:r>
              <w:t>.</w:t>
            </w:r>
          </w:p>
          <w:p w14:paraId="0844EF1C" w14:textId="7F512155" w:rsidR="007348C9" w:rsidRPr="005C58EA" w:rsidRDefault="007348C9" w:rsidP="000E6FE7">
            <w:pPr>
              <w:spacing w:after="0" w:line="240" w:lineRule="auto"/>
              <w:jc w:val="both"/>
            </w:pPr>
          </w:p>
        </w:tc>
      </w:tr>
      <w:tr w:rsidR="00750199" w:rsidRPr="004D512B" w14:paraId="475F9179" w14:textId="77777777" w:rsidTr="00750199">
        <w:tc>
          <w:tcPr>
            <w:tcW w:w="889" w:type="dxa"/>
            <w:tcBorders>
              <w:top w:val="single" w:sz="4" w:space="0" w:color="auto"/>
              <w:left w:val="single" w:sz="4" w:space="0" w:color="auto"/>
              <w:bottom w:val="single" w:sz="4" w:space="0" w:color="auto"/>
              <w:right w:val="single" w:sz="4" w:space="0" w:color="auto"/>
            </w:tcBorders>
            <w:shd w:val="clear" w:color="auto" w:fill="auto"/>
          </w:tcPr>
          <w:p w14:paraId="265AE429" w14:textId="77777777" w:rsidR="00750199" w:rsidRDefault="00750199" w:rsidP="00750199">
            <w:pPr>
              <w:spacing w:after="0" w:line="240" w:lineRule="auto"/>
              <w:jc w:val="both"/>
              <w:rPr>
                <w:rFonts w:cs="Arial"/>
                <w:szCs w:val="24"/>
              </w:rPr>
            </w:pPr>
            <w:r>
              <w:rPr>
                <w:rFonts w:cs="Arial"/>
                <w:szCs w:val="24"/>
              </w:rPr>
              <w:lastRenderedPageBreak/>
              <w:t>7.6</w:t>
            </w:r>
          </w:p>
          <w:p w14:paraId="07EFB24B" w14:textId="77777777" w:rsidR="00750199" w:rsidRDefault="0075019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11979FF8" w14:textId="7A3AB282" w:rsidR="00750199" w:rsidRDefault="00750199" w:rsidP="00750199">
            <w:pPr>
              <w:spacing w:after="0" w:line="240" w:lineRule="auto"/>
              <w:jc w:val="both"/>
            </w:pPr>
            <w:r>
              <w:t>The case will then be considered by the Housing Panel, which should consist of a minimum three</w:t>
            </w:r>
            <w:r w:rsidR="00BB72E3">
              <w:t xml:space="preserve"> WCH staff</w:t>
            </w:r>
            <w:r>
              <w:t xml:space="preserve"> members (to enable a majority decision to be reached), of which two should be WCH Managers and one of whom should act as Chair. </w:t>
            </w:r>
            <w:r w:rsidRPr="00395121">
              <w:t xml:space="preserve">The </w:t>
            </w:r>
            <w:r>
              <w:t xml:space="preserve">Presenting Officer referring the application </w:t>
            </w:r>
            <w:r w:rsidRPr="00395121">
              <w:t xml:space="preserve">should not </w:t>
            </w:r>
            <w:r>
              <w:t xml:space="preserve">sit </w:t>
            </w:r>
            <w:r w:rsidRPr="00395121">
              <w:t xml:space="preserve">on the </w:t>
            </w:r>
            <w:r>
              <w:t>P</w:t>
            </w:r>
            <w:r w:rsidRPr="00395121">
              <w:t>anel.</w:t>
            </w:r>
            <w:r>
              <w:t xml:space="preserve"> </w:t>
            </w:r>
          </w:p>
          <w:p w14:paraId="00E0B3D5" w14:textId="77777777" w:rsidR="00750199" w:rsidRDefault="00750199" w:rsidP="00155FA0">
            <w:pPr>
              <w:spacing w:after="0" w:line="240" w:lineRule="auto"/>
              <w:jc w:val="both"/>
              <w:rPr>
                <w:rFonts w:cs="Arial"/>
                <w:b/>
                <w:color w:val="FFFFFF"/>
                <w:sz w:val="24"/>
                <w:szCs w:val="24"/>
              </w:rPr>
            </w:pPr>
          </w:p>
        </w:tc>
      </w:tr>
      <w:tr w:rsidR="00750199" w:rsidRPr="004D512B" w14:paraId="10842D3A" w14:textId="77777777" w:rsidTr="00750199">
        <w:tc>
          <w:tcPr>
            <w:tcW w:w="889" w:type="dxa"/>
            <w:tcBorders>
              <w:top w:val="single" w:sz="4" w:space="0" w:color="auto"/>
              <w:left w:val="single" w:sz="4" w:space="0" w:color="auto"/>
              <w:bottom w:val="single" w:sz="4" w:space="0" w:color="auto"/>
              <w:right w:val="single" w:sz="4" w:space="0" w:color="auto"/>
            </w:tcBorders>
            <w:shd w:val="clear" w:color="auto" w:fill="auto"/>
          </w:tcPr>
          <w:p w14:paraId="385CB769" w14:textId="77777777" w:rsidR="00750199" w:rsidRDefault="000E6FE7" w:rsidP="00750199">
            <w:pPr>
              <w:spacing w:after="0" w:line="240" w:lineRule="auto"/>
              <w:jc w:val="both"/>
              <w:rPr>
                <w:rFonts w:cs="Arial"/>
                <w:szCs w:val="24"/>
              </w:rPr>
            </w:pPr>
            <w:r>
              <w:rPr>
                <w:rFonts w:cs="Arial"/>
                <w:szCs w:val="24"/>
              </w:rPr>
              <w:t>7.7</w:t>
            </w:r>
          </w:p>
          <w:p w14:paraId="57F4FE07" w14:textId="77777777" w:rsidR="00750199" w:rsidRDefault="0075019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6CC225F0" w14:textId="77777777" w:rsidR="00750199" w:rsidRDefault="00750199" w:rsidP="00BA5752">
            <w:pPr>
              <w:spacing w:after="0" w:line="240" w:lineRule="auto"/>
              <w:jc w:val="both"/>
            </w:pPr>
            <w:r>
              <w:t xml:space="preserve">The Housing Panel’s decision and recommendation(s) should be recorded on the </w:t>
            </w:r>
            <w:r w:rsidRPr="0023632F">
              <w:t>Housing Panel</w:t>
            </w:r>
            <w:r>
              <w:t xml:space="preserve"> Summary </w:t>
            </w:r>
            <w:r w:rsidRPr="0023632F">
              <w:t>Sheet by</w:t>
            </w:r>
            <w:r>
              <w:t xml:space="preserve"> the Chair</w:t>
            </w:r>
            <w:r w:rsidR="00BA5752">
              <w:t xml:space="preserve">. </w:t>
            </w:r>
          </w:p>
          <w:p w14:paraId="6F364865" w14:textId="77777777" w:rsidR="00BA5752" w:rsidRDefault="00BA5752" w:rsidP="00BA5752">
            <w:pPr>
              <w:spacing w:after="0" w:line="240" w:lineRule="auto"/>
              <w:jc w:val="both"/>
              <w:rPr>
                <w:rFonts w:cs="Arial"/>
                <w:b/>
                <w:color w:val="FFFFFF"/>
                <w:sz w:val="24"/>
                <w:szCs w:val="24"/>
              </w:rPr>
            </w:pPr>
          </w:p>
        </w:tc>
      </w:tr>
      <w:tr w:rsidR="000E6FE7" w:rsidRPr="004D512B" w14:paraId="6016C0BC" w14:textId="77777777" w:rsidTr="00750199">
        <w:tc>
          <w:tcPr>
            <w:tcW w:w="889" w:type="dxa"/>
            <w:tcBorders>
              <w:top w:val="single" w:sz="4" w:space="0" w:color="auto"/>
              <w:left w:val="single" w:sz="4" w:space="0" w:color="auto"/>
              <w:bottom w:val="single" w:sz="4" w:space="0" w:color="auto"/>
              <w:right w:val="single" w:sz="4" w:space="0" w:color="auto"/>
            </w:tcBorders>
            <w:shd w:val="clear" w:color="auto" w:fill="auto"/>
          </w:tcPr>
          <w:p w14:paraId="39C7B827" w14:textId="77777777" w:rsidR="000E6FE7" w:rsidRDefault="000E6FE7" w:rsidP="00750199">
            <w:pPr>
              <w:spacing w:after="0" w:line="240" w:lineRule="auto"/>
              <w:jc w:val="both"/>
              <w:rPr>
                <w:rFonts w:cs="Arial"/>
                <w:szCs w:val="24"/>
              </w:rPr>
            </w:pPr>
            <w:r>
              <w:rPr>
                <w:rFonts w:cs="Arial"/>
                <w:szCs w:val="24"/>
              </w:rPr>
              <w:t>7.8</w:t>
            </w: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3DF07ED8" w14:textId="77777777" w:rsidR="000E6FE7" w:rsidRDefault="000E6FE7" w:rsidP="000E6FE7">
            <w:pPr>
              <w:spacing w:after="0" w:line="240" w:lineRule="auto"/>
              <w:jc w:val="both"/>
            </w:pPr>
            <w:r>
              <w:t>If the line manager does not agree with the Presenting Officer’s recommendation the reason(s) for this should be recorded on the Summary Sheet.</w:t>
            </w:r>
          </w:p>
          <w:p w14:paraId="4E3EF3AB" w14:textId="77777777" w:rsidR="000E6FE7" w:rsidRDefault="000E6FE7" w:rsidP="00750199">
            <w:pPr>
              <w:spacing w:after="0" w:line="240" w:lineRule="auto"/>
              <w:jc w:val="both"/>
            </w:pPr>
          </w:p>
        </w:tc>
      </w:tr>
      <w:tr w:rsidR="00BA5752" w:rsidRPr="004D512B" w14:paraId="50684B6D" w14:textId="77777777" w:rsidTr="00750199">
        <w:tc>
          <w:tcPr>
            <w:tcW w:w="889" w:type="dxa"/>
            <w:tcBorders>
              <w:top w:val="single" w:sz="4" w:space="0" w:color="auto"/>
              <w:left w:val="single" w:sz="4" w:space="0" w:color="auto"/>
              <w:bottom w:val="single" w:sz="4" w:space="0" w:color="auto"/>
              <w:right w:val="single" w:sz="4" w:space="0" w:color="auto"/>
            </w:tcBorders>
            <w:shd w:val="clear" w:color="auto" w:fill="auto"/>
          </w:tcPr>
          <w:p w14:paraId="63ECCF6D" w14:textId="77777777" w:rsidR="00BA5752" w:rsidRDefault="00BA5752" w:rsidP="00750199">
            <w:pPr>
              <w:spacing w:after="0" w:line="240" w:lineRule="auto"/>
              <w:jc w:val="both"/>
              <w:rPr>
                <w:rFonts w:cs="Arial"/>
                <w:szCs w:val="24"/>
              </w:rPr>
            </w:pPr>
            <w:r>
              <w:rPr>
                <w:rFonts w:cs="Arial"/>
                <w:szCs w:val="24"/>
              </w:rPr>
              <w:t>7.9</w:t>
            </w: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0EDE6E5B" w14:textId="260C4A6C" w:rsidR="00BA5752" w:rsidRDefault="00BA5752" w:rsidP="00BA5752">
            <w:pPr>
              <w:spacing w:after="0" w:line="240" w:lineRule="auto"/>
              <w:jc w:val="both"/>
            </w:pPr>
            <w:r>
              <w:t xml:space="preserve">The Summary Sheet </w:t>
            </w:r>
            <w:r w:rsidR="007850A9">
              <w:t xml:space="preserve">should be </w:t>
            </w:r>
            <w:r>
              <w:t>returned to the Presenting Officer to communicate the decision back to the applicant and progress the transfer as necessary.</w:t>
            </w:r>
          </w:p>
          <w:p w14:paraId="063C3FCD" w14:textId="77777777" w:rsidR="00BA5752" w:rsidRDefault="00BA5752" w:rsidP="000E6FE7">
            <w:pPr>
              <w:spacing w:after="0" w:line="240" w:lineRule="auto"/>
              <w:jc w:val="both"/>
            </w:pPr>
          </w:p>
        </w:tc>
      </w:tr>
      <w:tr w:rsidR="00BC6B09" w:rsidRPr="004D512B" w14:paraId="412AE4D1"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7030A0"/>
          </w:tcPr>
          <w:p w14:paraId="4C227807" w14:textId="77777777" w:rsidR="00BC6B09" w:rsidRDefault="000E6FE7" w:rsidP="00155FA0">
            <w:pPr>
              <w:spacing w:after="0" w:line="240" w:lineRule="auto"/>
              <w:jc w:val="both"/>
              <w:rPr>
                <w:rFonts w:cs="Arial"/>
                <w:b/>
                <w:color w:val="FFFFFF"/>
                <w:sz w:val="24"/>
                <w:szCs w:val="24"/>
              </w:rPr>
            </w:pPr>
            <w:r>
              <w:rPr>
                <w:rFonts w:cs="Arial"/>
                <w:b/>
                <w:color w:val="FFFFFF"/>
                <w:sz w:val="24"/>
                <w:szCs w:val="24"/>
              </w:rPr>
              <w:t>8.</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61637FCE" w14:textId="77777777" w:rsidR="00BC6B09" w:rsidRDefault="0023632F" w:rsidP="00155FA0">
            <w:pPr>
              <w:spacing w:after="0" w:line="240" w:lineRule="auto"/>
              <w:jc w:val="both"/>
              <w:rPr>
                <w:rFonts w:cs="Arial"/>
                <w:b/>
                <w:color w:val="FFFFFF"/>
                <w:sz w:val="24"/>
                <w:szCs w:val="24"/>
              </w:rPr>
            </w:pPr>
            <w:r>
              <w:rPr>
                <w:rFonts w:cs="Arial"/>
                <w:b/>
                <w:color w:val="FFFFFF"/>
                <w:sz w:val="24"/>
                <w:szCs w:val="24"/>
              </w:rPr>
              <w:t>Assessing Housing Panel Cases</w:t>
            </w:r>
          </w:p>
        </w:tc>
      </w:tr>
      <w:tr w:rsidR="0023632F" w:rsidRPr="004D512B" w14:paraId="68B4027D" w14:textId="77777777" w:rsidTr="0023632F">
        <w:tc>
          <w:tcPr>
            <w:tcW w:w="889" w:type="dxa"/>
            <w:tcBorders>
              <w:top w:val="single" w:sz="4" w:space="0" w:color="auto"/>
              <w:left w:val="single" w:sz="4" w:space="0" w:color="auto"/>
              <w:bottom w:val="single" w:sz="4" w:space="0" w:color="auto"/>
              <w:right w:val="single" w:sz="4" w:space="0" w:color="auto"/>
            </w:tcBorders>
            <w:shd w:val="clear" w:color="auto" w:fill="auto"/>
          </w:tcPr>
          <w:p w14:paraId="2598FDBE" w14:textId="77777777" w:rsidR="00750199" w:rsidRDefault="000E6FE7" w:rsidP="00750199">
            <w:pPr>
              <w:spacing w:after="0" w:line="240" w:lineRule="auto"/>
              <w:jc w:val="both"/>
              <w:rPr>
                <w:rFonts w:cs="Arial"/>
                <w:szCs w:val="24"/>
              </w:rPr>
            </w:pPr>
            <w:r>
              <w:rPr>
                <w:rFonts w:cs="Arial"/>
                <w:szCs w:val="24"/>
              </w:rPr>
              <w:t>8</w:t>
            </w:r>
            <w:r w:rsidR="00750199">
              <w:rPr>
                <w:rFonts w:cs="Arial"/>
                <w:szCs w:val="24"/>
              </w:rPr>
              <w:t>.1.</w:t>
            </w:r>
          </w:p>
          <w:p w14:paraId="794B375D" w14:textId="77777777" w:rsidR="0023632F" w:rsidRDefault="0023632F"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5597E6B7" w14:textId="561DEC1A" w:rsidR="0023632F" w:rsidRDefault="00750199" w:rsidP="005C21E1">
            <w:pPr>
              <w:spacing w:after="0" w:line="240" w:lineRule="auto"/>
              <w:jc w:val="both"/>
            </w:pPr>
            <w:r w:rsidRPr="00AE0DAC">
              <w:t xml:space="preserve">As </w:t>
            </w:r>
            <w:r>
              <w:t xml:space="preserve">the need for affordable accommodation far outweighs </w:t>
            </w:r>
            <w:r w:rsidR="00CB73DC">
              <w:t>its</w:t>
            </w:r>
            <w:r>
              <w:t xml:space="preserve"> supply, a</w:t>
            </w:r>
            <w:r w:rsidR="00CB73DC">
              <w:t xml:space="preserve">ny </w:t>
            </w:r>
            <w:r>
              <w:t xml:space="preserve">decision to offer accommodation under an Internal or Managed Transfer </w:t>
            </w:r>
            <w:r w:rsidR="00CB73DC">
              <w:t xml:space="preserve">should be balanced against the effect on </w:t>
            </w:r>
            <w:r>
              <w:t xml:space="preserve">other </w:t>
            </w:r>
            <w:r w:rsidR="005C21E1">
              <w:t>existing</w:t>
            </w:r>
            <w:r w:rsidR="00BA5752">
              <w:t xml:space="preserve"> and future</w:t>
            </w:r>
            <w:r w:rsidR="005C21E1">
              <w:t xml:space="preserve"> </w:t>
            </w:r>
            <w:r w:rsidR="007348C9">
              <w:t>customer</w:t>
            </w:r>
            <w:r>
              <w:t>s</w:t>
            </w:r>
            <w:r w:rsidR="00394CB7">
              <w:t xml:space="preserve"> and make the best use of </w:t>
            </w:r>
            <w:r w:rsidR="00BA5752">
              <w:t xml:space="preserve">WCH’s </w:t>
            </w:r>
            <w:r w:rsidR="00394CB7">
              <w:t>housing stock.</w:t>
            </w:r>
            <w:r>
              <w:t xml:space="preserve"> </w:t>
            </w:r>
            <w:r w:rsidR="00A93623">
              <w:t xml:space="preserve">Offers should be like for like and suitable for the </w:t>
            </w:r>
            <w:r w:rsidR="007348C9">
              <w:t>customer</w:t>
            </w:r>
            <w:r w:rsidR="00BA5752">
              <w:t>’</w:t>
            </w:r>
            <w:r w:rsidR="00A93623">
              <w:t>s housing need.</w:t>
            </w:r>
          </w:p>
          <w:p w14:paraId="3F7AE51B" w14:textId="77777777" w:rsidR="005C21E1" w:rsidRDefault="005C21E1" w:rsidP="005C21E1">
            <w:pPr>
              <w:spacing w:after="0" w:line="240" w:lineRule="auto"/>
              <w:jc w:val="both"/>
              <w:rPr>
                <w:rFonts w:cs="Arial"/>
                <w:b/>
                <w:color w:val="FFFFFF"/>
                <w:sz w:val="24"/>
                <w:szCs w:val="24"/>
              </w:rPr>
            </w:pPr>
          </w:p>
        </w:tc>
      </w:tr>
      <w:tr w:rsidR="0023632F" w:rsidRPr="004D512B" w14:paraId="6A11F41E" w14:textId="77777777" w:rsidTr="0023632F">
        <w:tc>
          <w:tcPr>
            <w:tcW w:w="889" w:type="dxa"/>
            <w:tcBorders>
              <w:top w:val="single" w:sz="4" w:space="0" w:color="auto"/>
              <w:left w:val="single" w:sz="4" w:space="0" w:color="auto"/>
              <w:bottom w:val="single" w:sz="4" w:space="0" w:color="auto"/>
              <w:right w:val="single" w:sz="4" w:space="0" w:color="auto"/>
            </w:tcBorders>
            <w:shd w:val="clear" w:color="auto" w:fill="auto"/>
          </w:tcPr>
          <w:p w14:paraId="5CD072C4" w14:textId="1BCC9B11" w:rsidR="00750199" w:rsidRDefault="000E6FE7" w:rsidP="00750199">
            <w:pPr>
              <w:spacing w:after="0" w:line="240" w:lineRule="auto"/>
              <w:jc w:val="both"/>
              <w:rPr>
                <w:rFonts w:cs="Arial"/>
                <w:szCs w:val="24"/>
              </w:rPr>
            </w:pPr>
            <w:r>
              <w:rPr>
                <w:rFonts w:cs="Arial"/>
                <w:szCs w:val="24"/>
              </w:rPr>
              <w:t>8.2</w:t>
            </w:r>
          </w:p>
          <w:p w14:paraId="43CF9E9F" w14:textId="77777777" w:rsidR="00FA10A1" w:rsidRDefault="00FA10A1" w:rsidP="00750199">
            <w:pPr>
              <w:spacing w:after="0" w:line="240" w:lineRule="auto"/>
              <w:jc w:val="both"/>
              <w:rPr>
                <w:rFonts w:cs="Arial"/>
                <w:szCs w:val="24"/>
              </w:rPr>
            </w:pPr>
          </w:p>
          <w:p w14:paraId="0F05164D" w14:textId="77777777" w:rsidR="00FA10A1" w:rsidRDefault="00FA10A1" w:rsidP="00750199">
            <w:pPr>
              <w:spacing w:after="0" w:line="240" w:lineRule="auto"/>
              <w:jc w:val="both"/>
              <w:rPr>
                <w:rFonts w:cs="Arial"/>
                <w:szCs w:val="24"/>
              </w:rPr>
            </w:pPr>
          </w:p>
          <w:p w14:paraId="513547F6" w14:textId="77777777" w:rsidR="00FA10A1" w:rsidRDefault="00FA10A1" w:rsidP="00750199">
            <w:pPr>
              <w:spacing w:after="0" w:line="240" w:lineRule="auto"/>
              <w:jc w:val="both"/>
              <w:rPr>
                <w:rFonts w:cs="Arial"/>
                <w:szCs w:val="24"/>
              </w:rPr>
            </w:pPr>
          </w:p>
          <w:p w14:paraId="041686DB" w14:textId="77777777" w:rsidR="005C21E1" w:rsidRDefault="005C21E1" w:rsidP="00750199">
            <w:pPr>
              <w:spacing w:after="0" w:line="240" w:lineRule="auto"/>
              <w:jc w:val="both"/>
              <w:rPr>
                <w:rFonts w:cs="Arial"/>
                <w:szCs w:val="24"/>
              </w:rPr>
            </w:pPr>
          </w:p>
          <w:p w14:paraId="6F4034E8" w14:textId="77777777" w:rsidR="00FA10A1" w:rsidRDefault="00FA10A1" w:rsidP="00750199">
            <w:pPr>
              <w:spacing w:after="0" w:line="240" w:lineRule="auto"/>
              <w:jc w:val="both"/>
              <w:rPr>
                <w:rFonts w:cs="Arial"/>
                <w:szCs w:val="24"/>
              </w:rPr>
            </w:pPr>
          </w:p>
          <w:p w14:paraId="0D3A8EB6" w14:textId="77777777" w:rsidR="003C75D6" w:rsidRDefault="003C75D6" w:rsidP="00750199">
            <w:pPr>
              <w:spacing w:after="0" w:line="240" w:lineRule="auto"/>
              <w:jc w:val="both"/>
              <w:rPr>
                <w:rFonts w:cs="Arial"/>
                <w:szCs w:val="24"/>
              </w:rPr>
            </w:pPr>
          </w:p>
          <w:p w14:paraId="1A819B49" w14:textId="77777777" w:rsidR="003C75D6" w:rsidRDefault="003C75D6" w:rsidP="00750199">
            <w:pPr>
              <w:spacing w:after="0" w:line="240" w:lineRule="auto"/>
              <w:jc w:val="both"/>
              <w:rPr>
                <w:rFonts w:cs="Arial"/>
                <w:szCs w:val="24"/>
              </w:rPr>
            </w:pPr>
          </w:p>
          <w:p w14:paraId="792EF7B6" w14:textId="1FE0A0E5" w:rsidR="00FA10A1" w:rsidRDefault="00FA10A1" w:rsidP="00750199">
            <w:pPr>
              <w:spacing w:after="0" w:line="240" w:lineRule="auto"/>
              <w:jc w:val="both"/>
              <w:rPr>
                <w:rFonts w:cs="Arial"/>
                <w:szCs w:val="24"/>
              </w:rPr>
            </w:pPr>
            <w:r>
              <w:rPr>
                <w:rFonts w:cs="Arial"/>
                <w:szCs w:val="24"/>
              </w:rPr>
              <w:t>8.3</w:t>
            </w:r>
          </w:p>
          <w:p w14:paraId="19E20A2A" w14:textId="77777777" w:rsidR="0023632F" w:rsidRDefault="0023632F"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0FACA947" w14:textId="77777777" w:rsidR="00750199" w:rsidRDefault="00750199" w:rsidP="00750199">
            <w:pPr>
              <w:spacing w:after="0" w:line="240" w:lineRule="auto"/>
              <w:jc w:val="both"/>
            </w:pPr>
            <w:r w:rsidRPr="00302358">
              <w:t xml:space="preserve">The </w:t>
            </w:r>
            <w:r>
              <w:t xml:space="preserve">Housing </w:t>
            </w:r>
            <w:r w:rsidRPr="00302358">
              <w:t xml:space="preserve">Panel must be fair and consistent in </w:t>
            </w:r>
            <w:r w:rsidR="00BA5752">
              <w:t xml:space="preserve">its </w:t>
            </w:r>
            <w:r w:rsidRPr="00302358">
              <w:t>decision-making when making recommendations and be aware that their decisions may set a precedent. The Panel Officers must not treat applicants less favo</w:t>
            </w:r>
            <w:r w:rsidR="003C75D6">
              <w:t>urabl</w:t>
            </w:r>
            <w:r w:rsidR="00BA5752">
              <w:t>y</w:t>
            </w:r>
            <w:r w:rsidR="003C75D6">
              <w:t xml:space="preserve"> on account of their </w:t>
            </w:r>
            <w:r w:rsidR="003C75D6">
              <w:rPr>
                <w:sz w:val="23"/>
                <w:szCs w:val="23"/>
              </w:rPr>
              <w:t>age, disability, gender reassignment, marriage or civil partnership, pregnancy and maternity, race (which includes colour, nationality and ethnic or national origins), religion or belief, sex or sexual orientation</w:t>
            </w:r>
            <w:r w:rsidRPr="00302358">
              <w:t xml:space="preserve"> in accordance with the 2010 Equality Act</w:t>
            </w:r>
            <w:r w:rsidR="005C21E1">
              <w:t xml:space="preserve"> and be able to justify their decision if challenged</w:t>
            </w:r>
            <w:r w:rsidRPr="00302358">
              <w:t xml:space="preserve">. </w:t>
            </w:r>
          </w:p>
          <w:p w14:paraId="6DE6CF39" w14:textId="77777777" w:rsidR="00FA10A1" w:rsidRDefault="00FA10A1" w:rsidP="00750199">
            <w:pPr>
              <w:spacing w:after="0" w:line="240" w:lineRule="auto"/>
              <w:jc w:val="both"/>
            </w:pPr>
          </w:p>
          <w:p w14:paraId="4AA8B405" w14:textId="77777777" w:rsidR="00FA10A1" w:rsidRPr="00302358" w:rsidRDefault="00FA10A1" w:rsidP="00750199">
            <w:pPr>
              <w:spacing w:after="0" w:line="240" w:lineRule="auto"/>
              <w:jc w:val="both"/>
            </w:pPr>
            <w:r>
              <w:rPr>
                <w:b/>
              </w:rPr>
              <w:t>Successful applicants will be made one reasonable offer of accommodation.</w:t>
            </w:r>
          </w:p>
          <w:p w14:paraId="450EF676" w14:textId="77777777" w:rsidR="0023632F" w:rsidRDefault="0023632F" w:rsidP="00155FA0">
            <w:pPr>
              <w:spacing w:after="0" w:line="240" w:lineRule="auto"/>
              <w:jc w:val="both"/>
              <w:rPr>
                <w:rFonts w:cs="Arial"/>
                <w:b/>
                <w:color w:val="FFFFFF"/>
                <w:sz w:val="24"/>
                <w:szCs w:val="24"/>
              </w:rPr>
            </w:pPr>
          </w:p>
        </w:tc>
      </w:tr>
      <w:tr w:rsidR="0023632F" w:rsidRPr="004D512B" w14:paraId="18E23ED4" w14:textId="77777777" w:rsidTr="0023632F">
        <w:tc>
          <w:tcPr>
            <w:tcW w:w="889" w:type="dxa"/>
            <w:tcBorders>
              <w:top w:val="single" w:sz="4" w:space="0" w:color="auto"/>
              <w:left w:val="single" w:sz="4" w:space="0" w:color="auto"/>
              <w:bottom w:val="single" w:sz="4" w:space="0" w:color="auto"/>
              <w:right w:val="single" w:sz="4" w:space="0" w:color="auto"/>
            </w:tcBorders>
            <w:shd w:val="clear" w:color="auto" w:fill="auto"/>
          </w:tcPr>
          <w:p w14:paraId="4DCF0847" w14:textId="7C710D24" w:rsidR="00750199" w:rsidRDefault="00FA10A1" w:rsidP="00750199">
            <w:pPr>
              <w:spacing w:after="0" w:line="240" w:lineRule="auto"/>
              <w:jc w:val="both"/>
              <w:rPr>
                <w:rFonts w:cs="Arial"/>
                <w:szCs w:val="24"/>
              </w:rPr>
            </w:pPr>
            <w:r>
              <w:rPr>
                <w:rFonts w:cs="Arial"/>
                <w:szCs w:val="24"/>
              </w:rPr>
              <w:t>8.4</w:t>
            </w:r>
          </w:p>
          <w:p w14:paraId="1A7D5C6B" w14:textId="77777777" w:rsidR="0023632F" w:rsidRDefault="0023632F"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564F396E" w14:textId="77777777" w:rsidR="00750199" w:rsidRDefault="00750199" w:rsidP="00750199">
            <w:pPr>
              <w:pStyle w:val="Header"/>
              <w:tabs>
                <w:tab w:val="clear" w:pos="4513"/>
                <w:tab w:val="clear" w:pos="9026"/>
              </w:tabs>
              <w:jc w:val="both"/>
            </w:pPr>
            <w:r>
              <w:t xml:space="preserve">WCH </w:t>
            </w:r>
            <w:r w:rsidRPr="00790CC8">
              <w:t xml:space="preserve">will, if necessary, seek the advice of </w:t>
            </w:r>
            <w:r>
              <w:t>others, such as a social worker or a qualified medical professional,</w:t>
            </w:r>
            <w:r w:rsidRPr="00790CC8">
              <w:t xml:space="preserve"> before </w:t>
            </w:r>
            <w:r>
              <w:t xml:space="preserve">prioritising an application for accommodation based on medical need. </w:t>
            </w:r>
          </w:p>
          <w:p w14:paraId="385B1285" w14:textId="77777777" w:rsidR="0023632F" w:rsidRDefault="0023632F" w:rsidP="00155FA0">
            <w:pPr>
              <w:spacing w:after="0" w:line="240" w:lineRule="auto"/>
              <w:jc w:val="both"/>
              <w:rPr>
                <w:rFonts w:cs="Arial"/>
                <w:b/>
                <w:color w:val="FFFFFF"/>
                <w:sz w:val="24"/>
                <w:szCs w:val="24"/>
              </w:rPr>
            </w:pPr>
          </w:p>
        </w:tc>
      </w:tr>
      <w:tr w:rsidR="00BC6B09" w:rsidRPr="004D512B" w14:paraId="66D74211"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7030A0"/>
          </w:tcPr>
          <w:p w14:paraId="3A90FB92" w14:textId="77777777" w:rsidR="00BC6B09" w:rsidRDefault="000E6FE7" w:rsidP="00155FA0">
            <w:pPr>
              <w:spacing w:after="0" w:line="240" w:lineRule="auto"/>
              <w:jc w:val="both"/>
              <w:rPr>
                <w:rFonts w:cs="Arial"/>
                <w:b/>
                <w:color w:val="FFFFFF"/>
                <w:sz w:val="24"/>
                <w:szCs w:val="24"/>
              </w:rPr>
            </w:pPr>
            <w:r>
              <w:rPr>
                <w:rFonts w:cs="Arial"/>
                <w:b/>
                <w:color w:val="FFFFFF"/>
                <w:sz w:val="24"/>
                <w:szCs w:val="24"/>
              </w:rPr>
              <w:t>9.</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670FDE7D" w14:textId="77777777" w:rsidR="00BC6B09" w:rsidRDefault="0023632F" w:rsidP="00155FA0">
            <w:pPr>
              <w:spacing w:after="0" w:line="240" w:lineRule="auto"/>
              <w:jc w:val="both"/>
              <w:rPr>
                <w:rFonts w:cs="Arial"/>
                <w:b/>
                <w:color w:val="FFFFFF"/>
                <w:sz w:val="24"/>
                <w:szCs w:val="24"/>
              </w:rPr>
            </w:pPr>
            <w:r>
              <w:rPr>
                <w:rFonts w:cs="Arial"/>
                <w:b/>
                <w:color w:val="FFFFFF"/>
                <w:sz w:val="24"/>
                <w:szCs w:val="24"/>
              </w:rPr>
              <w:t>Risk Assessments</w:t>
            </w:r>
          </w:p>
        </w:tc>
      </w:tr>
      <w:tr w:rsidR="0023632F" w:rsidRPr="004D512B" w14:paraId="63FA97BD" w14:textId="77777777" w:rsidTr="0023632F">
        <w:tc>
          <w:tcPr>
            <w:tcW w:w="889" w:type="dxa"/>
            <w:tcBorders>
              <w:top w:val="single" w:sz="4" w:space="0" w:color="auto"/>
              <w:left w:val="single" w:sz="4" w:space="0" w:color="auto"/>
              <w:bottom w:val="single" w:sz="4" w:space="0" w:color="auto"/>
              <w:right w:val="single" w:sz="4" w:space="0" w:color="auto"/>
            </w:tcBorders>
            <w:shd w:val="clear" w:color="auto" w:fill="auto"/>
          </w:tcPr>
          <w:p w14:paraId="6B0E6C27" w14:textId="77777777" w:rsidR="00750199" w:rsidRDefault="000E6FE7" w:rsidP="00750199">
            <w:pPr>
              <w:spacing w:after="0" w:line="240" w:lineRule="auto"/>
              <w:jc w:val="both"/>
              <w:rPr>
                <w:rFonts w:cs="Arial"/>
                <w:szCs w:val="24"/>
              </w:rPr>
            </w:pPr>
            <w:r>
              <w:rPr>
                <w:rFonts w:cs="Arial"/>
                <w:szCs w:val="24"/>
              </w:rPr>
              <w:t>9.1</w:t>
            </w:r>
          </w:p>
          <w:p w14:paraId="2357F62D" w14:textId="77777777" w:rsidR="0023632F" w:rsidRDefault="0023632F"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008BE64E" w14:textId="392F83EE" w:rsidR="0023632F" w:rsidRDefault="0023632F" w:rsidP="00155FA0">
            <w:pPr>
              <w:spacing w:after="0" w:line="240" w:lineRule="auto"/>
              <w:jc w:val="both"/>
            </w:pPr>
            <w:r w:rsidRPr="00701DF5">
              <w:t xml:space="preserve">In some </w:t>
            </w:r>
            <w:proofErr w:type="gramStart"/>
            <w:r w:rsidRPr="00701DF5">
              <w:t>cases</w:t>
            </w:r>
            <w:proofErr w:type="gramEnd"/>
            <w:r w:rsidRPr="00701DF5">
              <w:t xml:space="preserve"> </w:t>
            </w:r>
            <w:r>
              <w:t xml:space="preserve">there may be inherent </w:t>
            </w:r>
            <w:r w:rsidR="005C21E1">
              <w:t xml:space="preserve">risks associated with the case </w:t>
            </w:r>
            <w:proofErr w:type="spellStart"/>
            <w:r w:rsidR="005C21E1">
              <w:t>eg</w:t>
            </w:r>
            <w:proofErr w:type="spellEnd"/>
            <w:r w:rsidR="005C21E1">
              <w:t xml:space="preserve"> </w:t>
            </w:r>
            <w:r>
              <w:t xml:space="preserve">the placing of a </w:t>
            </w:r>
            <w:r w:rsidR="007348C9">
              <w:t>customer</w:t>
            </w:r>
            <w:r>
              <w:t xml:space="preserve"> </w:t>
            </w:r>
            <w:r w:rsidR="005C21E1">
              <w:t xml:space="preserve">with mental health difficulties </w:t>
            </w:r>
            <w:r>
              <w:t xml:space="preserve">known to be at risk </w:t>
            </w:r>
            <w:r w:rsidR="00BA5752">
              <w:t>with</w:t>
            </w:r>
            <w:r>
              <w:t xml:space="preserve">in or from the </w:t>
            </w:r>
            <w:r w:rsidR="005D0828">
              <w:t>community</w:t>
            </w:r>
            <w:r>
              <w:t>.</w:t>
            </w:r>
          </w:p>
          <w:p w14:paraId="120EFC88" w14:textId="77777777" w:rsidR="0023632F" w:rsidRDefault="0023632F" w:rsidP="00155FA0">
            <w:pPr>
              <w:spacing w:after="0" w:line="240" w:lineRule="auto"/>
              <w:jc w:val="both"/>
              <w:rPr>
                <w:rFonts w:cs="Arial"/>
                <w:b/>
                <w:color w:val="FFFFFF"/>
                <w:sz w:val="24"/>
                <w:szCs w:val="24"/>
              </w:rPr>
            </w:pPr>
          </w:p>
        </w:tc>
      </w:tr>
      <w:tr w:rsidR="00BC6B09" w:rsidRPr="004D512B" w14:paraId="6B6ACBBB"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7030A0"/>
          </w:tcPr>
          <w:p w14:paraId="6D33F6AF" w14:textId="77777777" w:rsidR="00BC6B09" w:rsidRDefault="000E6FE7" w:rsidP="00155FA0">
            <w:pPr>
              <w:spacing w:after="0" w:line="240" w:lineRule="auto"/>
              <w:jc w:val="both"/>
              <w:rPr>
                <w:rFonts w:cs="Arial"/>
                <w:b/>
                <w:color w:val="FFFFFF"/>
                <w:sz w:val="24"/>
                <w:szCs w:val="24"/>
              </w:rPr>
            </w:pPr>
            <w:r>
              <w:rPr>
                <w:rFonts w:cs="Arial"/>
                <w:b/>
                <w:color w:val="FFFFFF"/>
                <w:sz w:val="24"/>
                <w:szCs w:val="24"/>
              </w:rPr>
              <w:t>10.</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7D8B7DEC" w14:textId="77777777" w:rsidR="00BC6B09" w:rsidRDefault="0023632F" w:rsidP="00155FA0">
            <w:pPr>
              <w:spacing w:after="0" w:line="240" w:lineRule="auto"/>
              <w:jc w:val="both"/>
              <w:rPr>
                <w:rFonts w:cs="Arial"/>
                <w:b/>
                <w:color w:val="FFFFFF"/>
                <w:sz w:val="24"/>
                <w:szCs w:val="24"/>
              </w:rPr>
            </w:pPr>
            <w:r>
              <w:rPr>
                <w:rFonts w:cs="Arial"/>
                <w:b/>
                <w:color w:val="FFFFFF"/>
                <w:sz w:val="24"/>
                <w:szCs w:val="24"/>
              </w:rPr>
              <w:t>Alternative Actions</w:t>
            </w:r>
          </w:p>
        </w:tc>
      </w:tr>
      <w:tr w:rsidR="0023632F" w:rsidRPr="004D512B" w14:paraId="7819FE99" w14:textId="77777777" w:rsidTr="0023632F">
        <w:tc>
          <w:tcPr>
            <w:tcW w:w="889" w:type="dxa"/>
            <w:tcBorders>
              <w:top w:val="single" w:sz="4" w:space="0" w:color="auto"/>
              <w:left w:val="single" w:sz="4" w:space="0" w:color="auto"/>
              <w:bottom w:val="single" w:sz="4" w:space="0" w:color="auto"/>
              <w:right w:val="single" w:sz="4" w:space="0" w:color="auto"/>
            </w:tcBorders>
            <w:shd w:val="clear" w:color="auto" w:fill="auto"/>
          </w:tcPr>
          <w:p w14:paraId="7B16AEA7" w14:textId="77777777" w:rsidR="00750199" w:rsidRDefault="000E6FE7" w:rsidP="00750199">
            <w:pPr>
              <w:spacing w:after="0" w:line="240" w:lineRule="auto"/>
              <w:jc w:val="both"/>
              <w:rPr>
                <w:rFonts w:cs="Arial"/>
                <w:szCs w:val="24"/>
              </w:rPr>
            </w:pPr>
            <w:r>
              <w:rPr>
                <w:rFonts w:cs="Arial"/>
                <w:szCs w:val="24"/>
              </w:rPr>
              <w:t>10.1</w:t>
            </w:r>
          </w:p>
          <w:p w14:paraId="30374843" w14:textId="77777777" w:rsidR="0023632F" w:rsidRDefault="0023632F"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53DBF51A" w14:textId="77777777" w:rsidR="0023632F" w:rsidRDefault="0023632F" w:rsidP="0023632F">
            <w:pPr>
              <w:spacing w:line="240" w:lineRule="auto"/>
              <w:jc w:val="both"/>
            </w:pPr>
            <w:r w:rsidRPr="00701DF5">
              <w:t xml:space="preserve">In some </w:t>
            </w:r>
            <w:proofErr w:type="gramStart"/>
            <w:r w:rsidRPr="00701DF5">
              <w:t>cases</w:t>
            </w:r>
            <w:proofErr w:type="gramEnd"/>
            <w:r w:rsidRPr="00701DF5">
              <w:t xml:space="preserve"> the </w:t>
            </w:r>
            <w:r>
              <w:t>Housing P</w:t>
            </w:r>
            <w:r w:rsidRPr="00701DF5">
              <w:t xml:space="preserve">anel may need to </w:t>
            </w:r>
            <w:r w:rsidR="005C21E1">
              <w:t>make recommendations of</w:t>
            </w:r>
            <w:r>
              <w:t xml:space="preserve"> alternative actions or other housing options.  These could cover:</w:t>
            </w:r>
          </w:p>
          <w:p w14:paraId="3856BA37" w14:textId="77777777" w:rsidR="0023632F" w:rsidRDefault="0023632F" w:rsidP="0023632F">
            <w:pPr>
              <w:numPr>
                <w:ilvl w:val="0"/>
                <w:numId w:val="6"/>
              </w:numPr>
              <w:spacing w:after="0" w:line="240" w:lineRule="auto"/>
              <w:jc w:val="both"/>
            </w:pPr>
            <w:r>
              <w:t>The need for re-housing outside Watford and mechanisms to achieve this (e.g. reciprocal arrangements, referral through nominations schemes);</w:t>
            </w:r>
          </w:p>
          <w:p w14:paraId="7232ACAA" w14:textId="77777777" w:rsidR="0023632F" w:rsidRDefault="0023632F" w:rsidP="0023632F">
            <w:pPr>
              <w:numPr>
                <w:ilvl w:val="0"/>
                <w:numId w:val="7"/>
              </w:numPr>
              <w:spacing w:after="0" w:line="240" w:lineRule="auto"/>
              <w:jc w:val="both"/>
            </w:pPr>
            <w:r>
              <w:t>The need for repairs/improvements to be prioritised to improve living conditions if special circumstances justify this;</w:t>
            </w:r>
          </w:p>
          <w:p w14:paraId="1D16EA0D" w14:textId="77777777" w:rsidR="0023632F" w:rsidRDefault="0023632F" w:rsidP="0023632F">
            <w:pPr>
              <w:numPr>
                <w:ilvl w:val="0"/>
                <w:numId w:val="6"/>
              </w:numPr>
              <w:spacing w:after="0" w:line="240" w:lineRule="auto"/>
              <w:jc w:val="both"/>
            </w:pPr>
            <w:r>
              <w:t>The need for more proactive management of any nuisance or harassment being experienced through Safer Communities and /or Neighbourhood Services/Housing Support Services;</w:t>
            </w:r>
          </w:p>
          <w:p w14:paraId="131DA49B" w14:textId="77777777" w:rsidR="0023632F" w:rsidRDefault="0023632F" w:rsidP="0023632F">
            <w:pPr>
              <w:numPr>
                <w:ilvl w:val="0"/>
                <w:numId w:val="6"/>
              </w:numPr>
              <w:spacing w:after="0" w:line="240" w:lineRule="auto"/>
              <w:jc w:val="both"/>
            </w:pPr>
            <w:r>
              <w:lastRenderedPageBreak/>
              <w:t>The recommendation to pursue a proactive mutual exchange option;</w:t>
            </w:r>
          </w:p>
          <w:p w14:paraId="73408467" w14:textId="77777777" w:rsidR="0023632F" w:rsidRDefault="0023632F" w:rsidP="0023632F">
            <w:pPr>
              <w:numPr>
                <w:ilvl w:val="0"/>
                <w:numId w:val="6"/>
              </w:numPr>
              <w:spacing w:after="0" w:line="240" w:lineRule="auto"/>
              <w:jc w:val="both"/>
            </w:pPr>
            <w:r>
              <w:t>Referral to other appropriate agencies such as the police, Environmental Health, Health and Community Services, Social Services</w:t>
            </w:r>
            <w:proofErr w:type="gramStart"/>
            <w:r>
              <w:t>; .</w:t>
            </w:r>
            <w:proofErr w:type="gramEnd"/>
          </w:p>
          <w:p w14:paraId="0D24692B" w14:textId="77777777" w:rsidR="0023632F" w:rsidRDefault="0023632F" w:rsidP="0023632F">
            <w:pPr>
              <w:numPr>
                <w:ilvl w:val="0"/>
                <w:numId w:val="6"/>
              </w:numPr>
              <w:spacing w:after="0" w:line="240" w:lineRule="auto"/>
              <w:jc w:val="both"/>
            </w:pPr>
            <w:r>
              <w:t xml:space="preserve">The recommendation to proactively ensure </w:t>
            </w:r>
            <w:r w:rsidR="00BA5752">
              <w:t xml:space="preserve">that </w:t>
            </w:r>
            <w:r>
              <w:t xml:space="preserve">more “like for like” transfers </w:t>
            </w:r>
            <w:r w:rsidR="00BA5752">
              <w:t xml:space="preserve">are </w:t>
            </w:r>
            <w:r>
              <w:t xml:space="preserve">considered; </w:t>
            </w:r>
          </w:p>
          <w:p w14:paraId="48E352F0" w14:textId="77777777" w:rsidR="0023632F" w:rsidRDefault="0023632F" w:rsidP="0023632F">
            <w:pPr>
              <w:pStyle w:val="ListParagraph"/>
              <w:numPr>
                <w:ilvl w:val="0"/>
                <w:numId w:val="6"/>
              </w:numPr>
              <w:spacing w:line="240" w:lineRule="auto"/>
              <w:jc w:val="both"/>
            </w:pPr>
            <w:r w:rsidRPr="00F0078B">
              <w:t xml:space="preserve">Work with </w:t>
            </w:r>
            <w:r>
              <w:t xml:space="preserve">a </w:t>
            </w:r>
            <w:r w:rsidRPr="00F0078B">
              <w:t>Housing Options Advisor to identify suitable accommodation</w:t>
            </w:r>
            <w:r>
              <w:t>; or</w:t>
            </w:r>
          </w:p>
          <w:p w14:paraId="53F1A37E" w14:textId="77777777" w:rsidR="0023632F" w:rsidRDefault="0023632F" w:rsidP="000E6FE7">
            <w:pPr>
              <w:pStyle w:val="ListParagraph"/>
              <w:numPr>
                <w:ilvl w:val="0"/>
                <w:numId w:val="6"/>
              </w:numPr>
              <w:spacing w:line="240" w:lineRule="auto"/>
              <w:jc w:val="both"/>
              <w:rPr>
                <w:rFonts w:cs="Arial"/>
                <w:b/>
                <w:color w:val="FFFFFF"/>
                <w:sz w:val="24"/>
                <w:szCs w:val="24"/>
              </w:rPr>
            </w:pPr>
            <w:r>
              <w:t xml:space="preserve">Recommendation that Watford Borough Council increases the priority banding of the applicant. </w:t>
            </w:r>
          </w:p>
        </w:tc>
      </w:tr>
      <w:tr w:rsidR="00BC6B09" w:rsidRPr="004D512B" w14:paraId="575880D9"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7030A0"/>
          </w:tcPr>
          <w:p w14:paraId="18492E05" w14:textId="77777777" w:rsidR="00BC6B09" w:rsidRDefault="000E6FE7" w:rsidP="00155FA0">
            <w:pPr>
              <w:spacing w:after="0" w:line="240" w:lineRule="auto"/>
              <w:jc w:val="both"/>
              <w:rPr>
                <w:rFonts w:cs="Arial"/>
                <w:b/>
                <w:color w:val="FFFFFF"/>
                <w:sz w:val="24"/>
                <w:szCs w:val="24"/>
              </w:rPr>
            </w:pPr>
            <w:r>
              <w:rPr>
                <w:rFonts w:cs="Arial"/>
                <w:b/>
                <w:color w:val="FFFFFF"/>
                <w:sz w:val="24"/>
                <w:szCs w:val="24"/>
              </w:rPr>
              <w:lastRenderedPageBreak/>
              <w:t>11.</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4A7721CD" w14:textId="77777777" w:rsidR="00BC6B09" w:rsidRDefault="00BC6B09" w:rsidP="00155FA0">
            <w:pPr>
              <w:spacing w:after="0" w:line="240" w:lineRule="auto"/>
              <w:jc w:val="both"/>
              <w:rPr>
                <w:rFonts w:cs="Arial"/>
                <w:b/>
                <w:color w:val="FFFFFF"/>
                <w:sz w:val="24"/>
                <w:szCs w:val="24"/>
              </w:rPr>
            </w:pPr>
            <w:r>
              <w:rPr>
                <w:rFonts w:cs="Arial"/>
                <w:b/>
                <w:color w:val="FFFFFF"/>
                <w:sz w:val="24"/>
                <w:szCs w:val="24"/>
              </w:rPr>
              <w:t>Housing Panel Outcomes</w:t>
            </w:r>
          </w:p>
        </w:tc>
      </w:tr>
      <w:tr w:rsidR="00BC6B09" w:rsidRPr="004D512B" w14:paraId="54FAD47F" w14:textId="77777777" w:rsidTr="00BC6B09">
        <w:tc>
          <w:tcPr>
            <w:tcW w:w="889" w:type="dxa"/>
            <w:tcBorders>
              <w:top w:val="single" w:sz="4" w:space="0" w:color="auto"/>
              <w:left w:val="single" w:sz="4" w:space="0" w:color="auto"/>
              <w:bottom w:val="single" w:sz="4" w:space="0" w:color="auto"/>
              <w:right w:val="single" w:sz="4" w:space="0" w:color="auto"/>
            </w:tcBorders>
            <w:shd w:val="clear" w:color="auto" w:fill="auto"/>
          </w:tcPr>
          <w:p w14:paraId="79C8E876" w14:textId="737B44BB" w:rsidR="00750199" w:rsidRDefault="00FA10A1" w:rsidP="00750199">
            <w:pPr>
              <w:spacing w:after="0" w:line="240" w:lineRule="auto"/>
              <w:jc w:val="both"/>
              <w:rPr>
                <w:rFonts w:cs="Arial"/>
                <w:szCs w:val="24"/>
              </w:rPr>
            </w:pPr>
            <w:r>
              <w:rPr>
                <w:rFonts w:cs="Arial"/>
                <w:szCs w:val="24"/>
              </w:rPr>
              <w:t>11.</w:t>
            </w:r>
            <w:r w:rsidR="007348C9">
              <w:rPr>
                <w:rFonts w:cs="Arial"/>
                <w:szCs w:val="24"/>
              </w:rPr>
              <w:t>1</w:t>
            </w:r>
          </w:p>
          <w:p w14:paraId="2B8AEBAF" w14:textId="77777777" w:rsidR="00BC6B09" w:rsidRDefault="00BC6B0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0B8052F2" w14:textId="0F9A9732" w:rsidR="00BC6B09" w:rsidRPr="00FA10A1" w:rsidRDefault="00BC6B09" w:rsidP="00DA093C">
            <w:pPr>
              <w:spacing w:line="240" w:lineRule="auto"/>
              <w:jc w:val="both"/>
            </w:pPr>
            <w:r>
              <w:t xml:space="preserve">Where the Housing Panel does not recommend </w:t>
            </w:r>
            <w:r w:rsidR="00DA093C">
              <w:t xml:space="preserve">approve the application </w:t>
            </w:r>
            <w:r>
              <w:t xml:space="preserve">but there is a change </w:t>
            </w:r>
            <w:r w:rsidR="005C21E1">
              <w:t xml:space="preserve">in the </w:t>
            </w:r>
            <w:r w:rsidR="007348C9">
              <w:t>customer</w:t>
            </w:r>
            <w:r w:rsidR="005C21E1">
              <w:t>’s</w:t>
            </w:r>
            <w:r>
              <w:t xml:space="preserve"> circumstances</w:t>
            </w:r>
            <w:r w:rsidR="005C21E1">
              <w:t>,</w:t>
            </w:r>
            <w:r>
              <w:t xml:space="preserve"> the case may be resubmitte</w:t>
            </w:r>
            <w:r w:rsidR="00FA10A1">
              <w:t xml:space="preserve">d to the Panel </w:t>
            </w:r>
            <w:proofErr w:type="gramStart"/>
            <w:r w:rsidR="00FA10A1">
              <w:t>at a later date</w:t>
            </w:r>
            <w:proofErr w:type="gramEnd"/>
            <w:r w:rsidR="00FA10A1">
              <w:t>.</w:t>
            </w:r>
          </w:p>
        </w:tc>
      </w:tr>
      <w:tr w:rsidR="00BC6B09" w:rsidRPr="004D512B" w14:paraId="235B13BA" w14:textId="77777777" w:rsidTr="00BC6B09">
        <w:tc>
          <w:tcPr>
            <w:tcW w:w="889" w:type="dxa"/>
            <w:tcBorders>
              <w:top w:val="single" w:sz="4" w:space="0" w:color="auto"/>
              <w:left w:val="single" w:sz="4" w:space="0" w:color="auto"/>
              <w:bottom w:val="single" w:sz="4" w:space="0" w:color="auto"/>
              <w:right w:val="single" w:sz="4" w:space="0" w:color="auto"/>
            </w:tcBorders>
            <w:shd w:val="clear" w:color="auto" w:fill="auto"/>
          </w:tcPr>
          <w:p w14:paraId="35B6EA06" w14:textId="7849E8ED" w:rsidR="00750199" w:rsidRDefault="00FA10A1" w:rsidP="00750199">
            <w:pPr>
              <w:spacing w:after="0" w:line="240" w:lineRule="auto"/>
              <w:jc w:val="both"/>
              <w:rPr>
                <w:rFonts w:cs="Arial"/>
                <w:szCs w:val="24"/>
              </w:rPr>
            </w:pPr>
            <w:r>
              <w:rPr>
                <w:rFonts w:cs="Arial"/>
                <w:szCs w:val="24"/>
              </w:rPr>
              <w:t>11.</w:t>
            </w:r>
            <w:r w:rsidR="007348C9">
              <w:rPr>
                <w:rFonts w:cs="Arial"/>
                <w:szCs w:val="24"/>
              </w:rPr>
              <w:t>2</w:t>
            </w:r>
          </w:p>
          <w:p w14:paraId="453CB282" w14:textId="77777777" w:rsidR="00BC6B09" w:rsidRDefault="00BC6B0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44990642" w14:textId="77777777" w:rsidR="00BC6B09" w:rsidRDefault="00BC6B09" w:rsidP="00BC6B09">
            <w:pPr>
              <w:pStyle w:val="Header"/>
              <w:tabs>
                <w:tab w:val="clear" w:pos="4513"/>
                <w:tab w:val="clear" w:pos="9026"/>
              </w:tabs>
              <w:jc w:val="both"/>
            </w:pPr>
            <w:r w:rsidRPr="00395121">
              <w:t xml:space="preserve">If there are two similar cases competing for the same type of </w:t>
            </w:r>
            <w:proofErr w:type="gramStart"/>
            <w:r w:rsidRPr="00395121">
              <w:t>property</w:t>
            </w:r>
            <w:proofErr w:type="gramEnd"/>
            <w:r w:rsidRPr="00395121">
              <w:t xml:space="preserve"> the property would normally be given </w:t>
            </w:r>
            <w:r>
              <w:t>to the applicant who was accepted at Panel first.</w:t>
            </w:r>
          </w:p>
          <w:p w14:paraId="3D91F46F" w14:textId="77777777" w:rsidR="00BC6B09" w:rsidRDefault="00BC6B09" w:rsidP="00155FA0">
            <w:pPr>
              <w:spacing w:after="0" w:line="240" w:lineRule="auto"/>
              <w:jc w:val="both"/>
              <w:rPr>
                <w:rFonts w:cs="Arial"/>
                <w:b/>
                <w:color w:val="FFFFFF"/>
                <w:sz w:val="24"/>
                <w:szCs w:val="24"/>
              </w:rPr>
            </w:pPr>
          </w:p>
        </w:tc>
      </w:tr>
      <w:tr w:rsidR="009B2DAD" w:rsidRPr="004D512B" w14:paraId="18BC1F90" w14:textId="77777777" w:rsidTr="00BC6B09">
        <w:tc>
          <w:tcPr>
            <w:tcW w:w="889" w:type="dxa"/>
            <w:tcBorders>
              <w:top w:val="single" w:sz="4" w:space="0" w:color="auto"/>
              <w:left w:val="single" w:sz="4" w:space="0" w:color="auto"/>
              <w:bottom w:val="single" w:sz="4" w:space="0" w:color="auto"/>
              <w:right w:val="single" w:sz="4" w:space="0" w:color="auto"/>
            </w:tcBorders>
            <w:shd w:val="clear" w:color="auto" w:fill="auto"/>
          </w:tcPr>
          <w:p w14:paraId="5E2E310E" w14:textId="46FBF609" w:rsidR="009B2DAD" w:rsidRDefault="009B2DAD" w:rsidP="00750199">
            <w:pPr>
              <w:spacing w:after="0" w:line="240" w:lineRule="auto"/>
              <w:jc w:val="both"/>
              <w:rPr>
                <w:rFonts w:cs="Arial"/>
                <w:szCs w:val="24"/>
              </w:rPr>
            </w:pPr>
            <w:r>
              <w:rPr>
                <w:rFonts w:cs="Arial"/>
                <w:szCs w:val="24"/>
              </w:rPr>
              <w:t>11.</w:t>
            </w:r>
            <w:r w:rsidR="007348C9">
              <w:rPr>
                <w:rFonts w:cs="Arial"/>
                <w:szCs w:val="24"/>
              </w:rPr>
              <w:t>3</w:t>
            </w:r>
          </w:p>
          <w:p w14:paraId="2555E6DC" w14:textId="49C322DE" w:rsidR="00BB72E3" w:rsidRDefault="00BB72E3" w:rsidP="00750199">
            <w:pPr>
              <w:spacing w:after="0" w:line="240" w:lineRule="auto"/>
              <w:jc w:val="both"/>
              <w:rPr>
                <w:rFonts w:cs="Arial"/>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2B580DBE" w14:textId="77777777" w:rsidR="00BB72E3" w:rsidRDefault="009B2DAD" w:rsidP="00116B18">
            <w:pPr>
              <w:pStyle w:val="Header"/>
              <w:tabs>
                <w:tab w:val="clear" w:pos="4513"/>
                <w:tab w:val="clear" w:pos="9026"/>
              </w:tabs>
              <w:jc w:val="both"/>
            </w:pPr>
            <w:r>
              <w:t xml:space="preserve">The outcome of the Housing Panel will be confirmed in writing to the customer, with clear reasons as to why this decision was made. </w:t>
            </w:r>
          </w:p>
          <w:p w14:paraId="6B8642C3" w14:textId="70348ED2" w:rsidR="00116B18" w:rsidRPr="00395121" w:rsidRDefault="00116B18" w:rsidP="00116B18">
            <w:pPr>
              <w:pStyle w:val="Header"/>
              <w:tabs>
                <w:tab w:val="clear" w:pos="4513"/>
                <w:tab w:val="clear" w:pos="9026"/>
              </w:tabs>
              <w:jc w:val="both"/>
            </w:pPr>
          </w:p>
        </w:tc>
      </w:tr>
      <w:tr w:rsidR="00BC6B09" w:rsidRPr="004D512B" w14:paraId="0F37AAD7"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7030A0"/>
          </w:tcPr>
          <w:p w14:paraId="78109265" w14:textId="77777777" w:rsidR="00BC6B09" w:rsidRDefault="00FA10A1" w:rsidP="00155FA0">
            <w:pPr>
              <w:spacing w:after="0" w:line="240" w:lineRule="auto"/>
              <w:jc w:val="both"/>
              <w:rPr>
                <w:rFonts w:cs="Arial"/>
                <w:b/>
                <w:color w:val="FFFFFF"/>
                <w:sz w:val="24"/>
                <w:szCs w:val="24"/>
              </w:rPr>
            </w:pPr>
            <w:r>
              <w:rPr>
                <w:rFonts w:cs="Arial"/>
                <w:b/>
                <w:color w:val="FFFFFF"/>
                <w:sz w:val="24"/>
                <w:szCs w:val="24"/>
              </w:rPr>
              <w:t>12.</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2ECD2600" w14:textId="77777777" w:rsidR="00BC6B09" w:rsidRDefault="00BC6B09" w:rsidP="00155FA0">
            <w:pPr>
              <w:spacing w:after="0" w:line="240" w:lineRule="auto"/>
              <w:jc w:val="both"/>
              <w:rPr>
                <w:rFonts w:cs="Arial"/>
                <w:b/>
                <w:color w:val="FFFFFF"/>
                <w:sz w:val="24"/>
                <w:szCs w:val="24"/>
              </w:rPr>
            </w:pPr>
            <w:r>
              <w:rPr>
                <w:rFonts w:cs="Arial"/>
                <w:b/>
                <w:color w:val="FFFFFF"/>
                <w:sz w:val="24"/>
                <w:szCs w:val="24"/>
              </w:rPr>
              <w:t>Monitoring Housing Panel Cases</w:t>
            </w:r>
          </w:p>
        </w:tc>
      </w:tr>
      <w:tr w:rsidR="00BC6B09" w:rsidRPr="004D512B" w14:paraId="4E40AF4E" w14:textId="77777777" w:rsidTr="00BC6B09">
        <w:tc>
          <w:tcPr>
            <w:tcW w:w="889" w:type="dxa"/>
            <w:tcBorders>
              <w:top w:val="single" w:sz="4" w:space="0" w:color="auto"/>
              <w:left w:val="single" w:sz="4" w:space="0" w:color="auto"/>
              <w:bottom w:val="single" w:sz="4" w:space="0" w:color="auto"/>
              <w:right w:val="single" w:sz="4" w:space="0" w:color="auto"/>
            </w:tcBorders>
            <w:shd w:val="clear" w:color="auto" w:fill="auto"/>
          </w:tcPr>
          <w:p w14:paraId="65A1AF9A" w14:textId="77777777" w:rsidR="00750199" w:rsidRDefault="001A4C9A" w:rsidP="00750199">
            <w:pPr>
              <w:spacing w:after="0" w:line="240" w:lineRule="auto"/>
              <w:jc w:val="both"/>
              <w:rPr>
                <w:rFonts w:cs="Arial"/>
                <w:szCs w:val="24"/>
              </w:rPr>
            </w:pPr>
            <w:r>
              <w:rPr>
                <w:rFonts w:cs="Arial"/>
                <w:szCs w:val="24"/>
              </w:rPr>
              <w:t>12.1</w:t>
            </w:r>
          </w:p>
          <w:p w14:paraId="06DA9B50" w14:textId="77777777" w:rsidR="00BC6B09" w:rsidRDefault="00BC6B0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0B8502EA" w14:textId="77777777" w:rsidR="00BC6B09" w:rsidRPr="00395121" w:rsidRDefault="00BC6B09" w:rsidP="00BC6B09">
            <w:pPr>
              <w:pStyle w:val="Header"/>
              <w:tabs>
                <w:tab w:val="clear" w:pos="4513"/>
                <w:tab w:val="clear" w:pos="9026"/>
              </w:tabs>
              <w:jc w:val="both"/>
            </w:pPr>
            <w:r w:rsidRPr="00395121">
              <w:t>Al</w:t>
            </w:r>
            <w:r>
              <w:t>l o</w:t>
            </w:r>
            <w:r w:rsidRPr="00395121">
              <w:t xml:space="preserve">utstanding cases </w:t>
            </w:r>
            <w:r>
              <w:t xml:space="preserve">are </w:t>
            </w:r>
            <w:r w:rsidRPr="00395121">
              <w:t xml:space="preserve">reviewed </w:t>
            </w:r>
            <w:r>
              <w:t>on a week</w:t>
            </w:r>
            <w:r w:rsidR="005C21E1">
              <w:t>ly basis as stated at section 7.2</w:t>
            </w:r>
            <w:r>
              <w:t xml:space="preserve"> above.</w:t>
            </w:r>
            <w:r w:rsidRPr="00395121">
              <w:t xml:space="preserve"> </w:t>
            </w:r>
          </w:p>
          <w:p w14:paraId="08CD7CFD" w14:textId="77777777" w:rsidR="00BC6B09" w:rsidRDefault="00BC6B09" w:rsidP="00155FA0">
            <w:pPr>
              <w:spacing w:after="0" w:line="240" w:lineRule="auto"/>
              <w:jc w:val="both"/>
              <w:rPr>
                <w:rFonts w:cs="Arial"/>
                <w:b/>
                <w:color w:val="FFFFFF"/>
                <w:sz w:val="24"/>
                <w:szCs w:val="24"/>
              </w:rPr>
            </w:pPr>
          </w:p>
        </w:tc>
      </w:tr>
      <w:tr w:rsidR="00BC6B09" w:rsidRPr="004D512B" w14:paraId="18B6BDB8"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7030A0"/>
          </w:tcPr>
          <w:p w14:paraId="399A4F1E" w14:textId="77777777" w:rsidR="00BC6B09" w:rsidRDefault="001A4C9A" w:rsidP="00155FA0">
            <w:pPr>
              <w:spacing w:after="0" w:line="240" w:lineRule="auto"/>
              <w:jc w:val="both"/>
              <w:rPr>
                <w:rFonts w:cs="Arial"/>
                <w:b/>
                <w:color w:val="FFFFFF"/>
                <w:sz w:val="24"/>
                <w:szCs w:val="24"/>
              </w:rPr>
            </w:pPr>
            <w:r>
              <w:rPr>
                <w:rFonts w:cs="Arial"/>
                <w:b/>
                <w:color w:val="FFFFFF"/>
                <w:sz w:val="24"/>
                <w:szCs w:val="24"/>
              </w:rPr>
              <w:t>13.</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6FD9FC73" w14:textId="77777777" w:rsidR="00BC6B09" w:rsidRDefault="00BC6B09" w:rsidP="00155FA0">
            <w:pPr>
              <w:spacing w:after="0" w:line="240" w:lineRule="auto"/>
              <w:jc w:val="both"/>
              <w:rPr>
                <w:rFonts w:cs="Arial"/>
                <w:b/>
                <w:color w:val="FFFFFF"/>
                <w:sz w:val="24"/>
                <w:szCs w:val="24"/>
              </w:rPr>
            </w:pPr>
            <w:r>
              <w:rPr>
                <w:rFonts w:cs="Arial"/>
                <w:b/>
                <w:color w:val="FFFFFF"/>
                <w:sz w:val="24"/>
                <w:szCs w:val="24"/>
              </w:rPr>
              <w:t>Reviewing Housing Panel Decisions</w:t>
            </w:r>
          </w:p>
        </w:tc>
      </w:tr>
      <w:tr w:rsidR="00BC6B09" w:rsidRPr="004D512B" w14:paraId="6F914CEE" w14:textId="77777777" w:rsidTr="00BC6B09">
        <w:tc>
          <w:tcPr>
            <w:tcW w:w="889" w:type="dxa"/>
            <w:tcBorders>
              <w:top w:val="single" w:sz="4" w:space="0" w:color="auto"/>
              <w:left w:val="single" w:sz="4" w:space="0" w:color="auto"/>
              <w:bottom w:val="single" w:sz="4" w:space="0" w:color="auto"/>
              <w:right w:val="single" w:sz="4" w:space="0" w:color="auto"/>
            </w:tcBorders>
            <w:shd w:val="clear" w:color="auto" w:fill="auto"/>
          </w:tcPr>
          <w:p w14:paraId="3598EBB9" w14:textId="77777777" w:rsidR="00750199" w:rsidRDefault="001A4C9A" w:rsidP="00750199">
            <w:pPr>
              <w:spacing w:after="0" w:line="240" w:lineRule="auto"/>
              <w:jc w:val="both"/>
              <w:rPr>
                <w:rFonts w:cs="Arial"/>
                <w:szCs w:val="24"/>
              </w:rPr>
            </w:pPr>
            <w:r>
              <w:rPr>
                <w:rFonts w:cs="Arial"/>
                <w:szCs w:val="24"/>
              </w:rPr>
              <w:t>13.1</w:t>
            </w:r>
          </w:p>
          <w:p w14:paraId="4697F4AB" w14:textId="77777777" w:rsidR="00BC6B09" w:rsidRDefault="00BC6B09" w:rsidP="00155FA0">
            <w:pPr>
              <w:spacing w:after="0" w:line="240" w:lineRule="auto"/>
              <w:jc w:val="both"/>
              <w:rPr>
                <w:rFonts w:cs="Arial"/>
                <w:b/>
                <w:color w:val="FFFFFF"/>
                <w:sz w:val="24"/>
                <w:szCs w:val="24"/>
              </w:rPr>
            </w:pP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4E922381" w14:textId="51EB5027" w:rsidR="00BC6B09" w:rsidRDefault="00BC6B09" w:rsidP="00BC6B09">
            <w:pPr>
              <w:pStyle w:val="Header"/>
              <w:tabs>
                <w:tab w:val="clear" w:pos="4513"/>
                <w:tab w:val="clear" w:pos="9026"/>
              </w:tabs>
              <w:jc w:val="both"/>
            </w:pPr>
            <w:r>
              <w:t xml:space="preserve">If an applicant </w:t>
            </w:r>
            <w:r w:rsidR="005C21E1">
              <w:t xml:space="preserve">disputes </w:t>
            </w:r>
            <w:r>
              <w:t>the Panel’s decision, they can reque</w:t>
            </w:r>
            <w:r w:rsidR="005C21E1">
              <w:t xml:space="preserve">st a review within </w:t>
            </w:r>
            <w:r w:rsidR="00DA093C">
              <w:t xml:space="preserve">20 working </w:t>
            </w:r>
            <w:r w:rsidR="005C21E1">
              <w:t>days of its notification to them</w:t>
            </w:r>
            <w:r>
              <w:t>.  T</w:t>
            </w:r>
            <w:r w:rsidRPr="00F0078B">
              <w:t xml:space="preserve">his </w:t>
            </w:r>
            <w:r>
              <w:t>review will be</w:t>
            </w:r>
            <w:r w:rsidR="005C58EA">
              <w:t xml:space="preserve"> the equivalent to</w:t>
            </w:r>
            <w:r w:rsidR="005D0828" w:rsidRPr="00F0078B">
              <w:t xml:space="preserve"> </w:t>
            </w:r>
            <w:r w:rsidR="005D0828">
              <w:t xml:space="preserve">Stage </w:t>
            </w:r>
            <w:r w:rsidR="00C63261">
              <w:t>2</w:t>
            </w:r>
            <w:r w:rsidR="005D0828">
              <w:t xml:space="preserve"> </w:t>
            </w:r>
            <w:r>
              <w:t xml:space="preserve">of the Customer Feedback </w:t>
            </w:r>
            <w:r w:rsidR="005C21E1">
              <w:t>Procedure</w:t>
            </w:r>
            <w:r w:rsidRPr="00F0078B">
              <w:t>.</w:t>
            </w:r>
            <w:r>
              <w:t xml:space="preserve">  </w:t>
            </w:r>
          </w:p>
          <w:p w14:paraId="5768EE78" w14:textId="77777777" w:rsidR="00BC6B09" w:rsidRDefault="00BC6B09" w:rsidP="00155FA0">
            <w:pPr>
              <w:spacing w:after="0" w:line="240" w:lineRule="auto"/>
              <w:jc w:val="both"/>
              <w:rPr>
                <w:rFonts w:cs="Arial"/>
                <w:b/>
                <w:color w:val="FFFFFF"/>
                <w:sz w:val="24"/>
                <w:szCs w:val="24"/>
              </w:rPr>
            </w:pPr>
          </w:p>
        </w:tc>
      </w:tr>
      <w:tr w:rsidR="00BC6B09" w:rsidRPr="004D512B" w14:paraId="19CA347C" w14:textId="77777777" w:rsidTr="00BC6B09">
        <w:tc>
          <w:tcPr>
            <w:tcW w:w="889" w:type="dxa"/>
            <w:tcBorders>
              <w:top w:val="single" w:sz="4" w:space="0" w:color="auto"/>
              <w:left w:val="single" w:sz="4" w:space="0" w:color="auto"/>
              <w:bottom w:val="single" w:sz="4" w:space="0" w:color="auto"/>
              <w:right w:val="single" w:sz="4" w:space="0" w:color="auto"/>
            </w:tcBorders>
            <w:shd w:val="clear" w:color="auto" w:fill="auto"/>
          </w:tcPr>
          <w:p w14:paraId="34413069" w14:textId="77777777" w:rsidR="00BC6B09" w:rsidRPr="001A4C9A" w:rsidRDefault="001A4C9A" w:rsidP="00155FA0">
            <w:pPr>
              <w:spacing w:after="0" w:line="240" w:lineRule="auto"/>
              <w:jc w:val="both"/>
              <w:rPr>
                <w:rFonts w:cs="Arial"/>
                <w:szCs w:val="24"/>
              </w:rPr>
            </w:pPr>
            <w:r>
              <w:rPr>
                <w:rFonts w:cs="Arial"/>
                <w:szCs w:val="24"/>
              </w:rPr>
              <w:t>13.2</w:t>
            </w:r>
          </w:p>
        </w:tc>
        <w:tc>
          <w:tcPr>
            <w:tcW w:w="8433" w:type="dxa"/>
            <w:gridSpan w:val="2"/>
            <w:tcBorders>
              <w:top w:val="single" w:sz="4" w:space="0" w:color="auto"/>
              <w:left w:val="single" w:sz="4" w:space="0" w:color="auto"/>
              <w:bottom w:val="single" w:sz="4" w:space="0" w:color="auto"/>
              <w:right w:val="single" w:sz="4" w:space="0" w:color="auto"/>
            </w:tcBorders>
            <w:shd w:val="clear" w:color="auto" w:fill="auto"/>
          </w:tcPr>
          <w:p w14:paraId="43EAFFFD" w14:textId="3E46B022" w:rsidR="00BC6B09" w:rsidRDefault="00BC6B09" w:rsidP="00BC6B09">
            <w:pPr>
              <w:pStyle w:val="Header"/>
              <w:tabs>
                <w:tab w:val="clear" w:pos="4513"/>
                <w:tab w:val="clear" w:pos="9026"/>
              </w:tabs>
              <w:jc w:val="both"/>
            </w:pPr>
            <w:r>
              <w:t xml:space="preserve">A review would generally only be considered where </w:t>
            </w:r>
            <w:r w:rsidR="005D0828">
              <w:t>the appl</w:t>
            </w:r>
            <w:r w:rsidR="006B2043">
              <w:t>icant can provide evidence that</w:t>
            </w:r>
            <w:r>
              <w:t xml:space="preserve"> the Housing Panel did not follow the correct procedure or</w:t>
            </w:r>
            <w:r w:rsidR="00DA093C">
              <w:t xml:space="preserve"> that</w:t>
            </w:r>
            <w:r>
              <w:t xml:space="preserve"> their decision was manifestly unfair. </w:t>
            </w:r>
          </w:p>
          <w:p w14:paraId="296B7091" w14:textId="77777777" w:rsidR="00BC6B09" w:rsidRDefault="00BC6B09" w:rsidP="00155FA0">
            <w:pPr>
              <w:spacing w:after="0" w:line="240" w:lineRule="auto"/>
              <w:jc w:val="both"/>
              <w:rPr>
                <w:rFonts w:cs="Arial"/>
                <w:b/>
                <w:color w:val="FFFFFF"/>
                <w:sz w:val="24"/>
                <w:szCs w:val="24"/>
              </w:rPr>
            </w:pPr>
          </w:p>
        </w:tc>
      </w:tr>
      <w:tr w:rsidR="00A06AE6" w:rsidRPr="004D512B" w14:paraId="43A8A6DC" w14:textId="77777777" w:rsidTr="00087F88">
        <w:tc>
          <w:tcPr>
            <w:tcW w:w="889" w:type="dxa"/>
            <w:tcBorders>
              <w:top w:val="single" w:sz="4" w:space="0" w:color="auto"/>
              <w:left w:val="single" w:sz="4" w:space="0" w:color="auto"/>
              <w:bottom w:val="single" w:sz="4" w:space="0" w:color="auto"/>
              <w:right w:val="single" w:sz="4" w:space="0" w:color="auto"/>
            </w:tcBorders>
            <w:shd w:val="clear" w:color="auto" w:fill="7030A0"/>
          </w:tcPr>
          <w:p w14:paraId="7D4C294C" w14:textId="77777777" w:rsidR="00A06AE6" w:rsidRDefault="001A4C9A" w:rsidP="00155FA0">
            <w:pPr>
              <w:spacing w:after="0" w:line="240" w:lineRule="auto"/>
              <w:jc w:val="both"/>
              <w:rPr>
                <w:rFonts w:cs="Arial"/>
                <w:b/>
                <w:color w:val="FFFFFF"/>
                <w:sz w:val="24"/>
                <w:szCs w:val="24"/>
              </w:rPr>
            </w:pPr>
            <w:r>
              <w:rPr>
                <w:rFonts w:cs="Arial"/>
                <w:b/>
                <w:color w:val="FFFFFF"/>
                <w:sz w:val="24"/>
                <w:szCs w:val="24"/>
              </w:rPr>
              <w:t>14.</w:t>
            </w:r>
          </w:p>
        </w:tc>
        <w:tc>
          <w:tcPr>
            <w:tcW w:w="8433" w:type="dxa"/>
            <w:gridSpan w:val="2"/>
            <w:tcBorders>
              <w:top w:val="single" w:sz="4" w:space="0" w:color="auto"/>
              <w:left w:val="single" w:sz="4" w:space="0" w:color="auto"/>
              <w:bottom w:val="single" w:sz="4" w:space="0" w:color="auto"/>
              <w:right w:val="single" w:sz="4" w:space="0" w:color="auto"/>
            </w:tcBorders>
            <w:shd w:val="clear" w:color="auto" w:fill="7030A0"/>
          </w:tcPr>
          <w:p w14:paraId="6DD947E9" w14:textId="77777777" w:rsidR="00A06AE6" w:rsidRDefault="00A06AE6" w:rsidP="00155FA0">
            <w:pPr>
              <w:spacing w:after="0" w:line="240" w:lineRule="auto"/>
              <w:jc w:val="both"/>
              <w:rPr>
                <w:rFonts w:cs="Arial"/>
                <w:b/>
                <w:color w:val="FFFFFF"/>
                <w:sz w:val="24"/>
                <w:szCs w:val="24"/>
              </w:rPr>
            </w:pPr>
            <w:r>
              <w:rPr>
                <w:rFonts w:cs="Arial"/>
                <w:b/>
                <w:color w:val="FFFFFF"/>
                <w:sz w:val="24"/>
                <w:szCs w:val="24"/>
              </w:rPr>
              <w:t xml:space="preserve">Related Documents </w:t>
            </w:r>
          </w:p>
        </w:tc>
      </w:tr>
      <w:tr w:rsidR="00A06AE6" w:rsidRPr="004D512B" w14:paraId="137F2244" w14:textId="77777777" w:rsidTr="009F01F4">
        <w:trPr>
          <w:trHeight w:val="618"/>
        </w:trPr>
        <w:tc>
          <w:tcPr>
            <w:tcW w:w="889" w:type="dxa"/>
            <w:tcBorders>
              <w:top w:val="single" w:sz="4" w:space="0" w:color="auto"/>
              <w:left w:val="single" w:sz="4" w:space="0" w:color="auto"/>
              <w:right w:val="single" w:sz="4" w:space="0" w:color="auto"/>
            </w:tcBorders>
            <w:shd w:val="clear" w:color="auto" w:fill="auto"/>
          </w:tcPr>
          <w:p w14:paraId="38163172" w14:textId="77777777" w:rsidR="00A06AE6" w:rsidRPr="00A06AE6" w:rsidRDefault="00A06AE6" w:rsidP="00155FA0">
            <w:pPr>
              <w:spacing w:after="0" w:line="240" w:lineRule="auto"/>
              <w:jc w:val="both"/>
              <w:rPr>
                <w:rFonts w:cs="Arial"/>
                <w:szCs w:val="24"/>
              </w:rPr>
            </w:pPr>
          </w:p>
        </w:tc>
        <w:tc>
          <w:tcPr>
            <w:tcW w:w="8433" w:type="dxa"/>
            <w:gridSpan w:val="2"/>
            <w:tcBorders>
              <w:top w:val="single" w:sz="4" w:space="0" w:color="auto"/>
              <w:left w:val="single" w:sz="4" w:space="0" w:color="auto"/>
              <w:right w:val="single" w:sz="4" w:space="0" w:color="auto"/>
            </w:tcBorders>
            <w:shd w:val="clear" w:color="auto" w:fill="auto"/>
          </w:tcPr>
          <w:p w14:paraId="4673AEFE" w14:textId="77777777" w:rsidR="00A06AE6" w:rsidRPr="00241EE6" w:rsidRDefault="00302358" w:rsidP="00241EE6">
            <w:pPr>
              <w:spacing w:after="0" w:line="240" w:lineRule="auto"/>
              <w:jc w:val="both"/>
              <w:rPr>
                <w:rFonts w:cs="Arial"/>
                <w:szCs w:val="24"/>
              </w:rPr>
            </w:pPr>
            <w:r w:rsidRPr="00241EE6">
              <w:rPr>
                <w:rFonts w:cs="Arial"/>
                <w:szCs w:val="24"/>
              </w:rPr>
              <w:t>Access to Housing Policy &amp; Procedure</w:t>
            </w:r>
          </w:p>
          <w:p w14:paraId="5F0D122D" w14:textId="77777777" w:rsidR="00A06AE6" w:rsidRPr="00241EE6" w:rsidRDefault="00A06AE6" w:rsidP="00241EE6">
            <w:pPr>
              <w:spacing w:after="0" w:line="240" w:lineRule="auto"/>
              <w:jc w:val="both"/>
              <w:rPr>
                <w:rFonts w:cs="Arial"/>
                <w:szCs w:val="24"/>
              </w:rPr>
            </w:pPr>
            <w:r w:rsidRPr="00241EE6">
              <w:rPr>
                <w:rFonts w:cs="Arial"/>
                <w:szCs w:val="24"/>
              </w:rPr>
              <w:t>Need</w:t>
            </w:r>
            <w:r w:rsidR="00DA093C">
              <w:rPr>
                <w:rFonts w:cs="Arial"/>
                <w:szCs w:val="24"/>
              </w:rPr>
              <w:t>s</w:t>
            </w:r>
            <w:r w:rsidRPr="00241EE6">
              <w:rPr>
                <w:rFonts w:cs="Arial"/>
                <w:szCs w:val="24"/>
              </w:rPr>
              <w:t xml:space="preserve"> and Risk Assessment Policy and Procedure </w:t>
            </w:r>
          </w:p>
        </w:tc>
      </w:tr>
    </w:tbl>
    <w:tbl>
      <w:tblPr>
        <w:tblStyle w:val="TableGrid"/>
        <w:tblpPr w:leftFromText="180" w:rightFromText="180" w:vertAnchor="text" w:horzAnchor="margin" w:tblpY="25"/>
        <w:tblW w:w="9322" w:type="dxa"/>
        <w:tblLook w:val="04A0" w:firstRow="1" w:lastRow="0" w:firstColumn="1" w:lastColumn="0" w:noHBand="0" w:noVBand="1"/>
      </w:tblPr>
      <w:tblGrid>
        <w:gridCol w:w="2552"/>
        <w:gridCol w:w="6770"/>
      </w:tblGrid>
      <w:tr w:rsidR="00517ECB" w14:paraId="40EA6A27" w14:textId="77777777" w:rsidTr="00A06AE6">
        <w:tc>
          <w:tcPr>
            <w:tcW w:w="9322" w:type="dxa"/>
            <w:gridSpan w:val="2"/>
            <w:tcBorders>
              <w:bottom w:val="single" w:sz="4" w:space="0" w:color="auto"/>
            </w:tcBorders>
            <w:shd w:val="clear" w:color="auto" w:fill="7030A0"/>
          </w:tcPr>
          <w:p w14:paraId="41FA786B" w14:textId="77777777" w:rsidR="00517ECB" w:rsidRPr="00A61790" w:rsidRDefault="00517ECB" w:rsidP="00155FA0">
            <w:pPr>
              <w:spacing w:after="0" w:line="240" w:lineRule="auto"/>
              <w:jc w:val="both"/>
              <w:rPr>
                <w:rFonts w:cs="Arial"/>
                <w:b/>
                <w:szCs w:val="24"/>
              </w:rPr>
            </w:pPr>
            <w:r w:rsidRPr="00A61790">
              <w:rPr>
                <w:rFonts w:cs="Arial"/>
                <w:b/>
                <w:szCs w:val="24"/>
              </w:rPr>
              <w:t xml:space="preserve">            </w:t>
            </w:r>
            <w:r w:rsidRPr="00A61790">
              <w:rPr>
                <w:rFonts w:cs="Arial"/>
                <w:b/>
                <w:color w:val="FFFFFF" w:themeColor="background1"/>
                <w:szCs w:val="24"/>
              </w:rPr>
              <w:t xml:space="preserve"> Approval</w:t>
            </w:r>
          </w:p>
        </w:tc>
      </w:tr>
      <w:tr w:rsidR="00517ECB" w14:paraId="1DC09459" w14:textId="77777777" w:rsidTr="00A06AE6">
        <w:tc>
          <w:tcPr>
            <w:tcW w:w="2552" w:type="dxa"/>
            <w:tcBorders>
              <w:top w:val="single" w:sz="4" w:space="0" w:color="auto"/>
              <w:left w:val="single" w:sz="4" w:space="0" w:color="auto"/>
              <w:bottom w:val="single" w:sz="4" w:space="0" w:color="auto"/>
              <w:right w:val="single" w:sz="4" w:space="0" w:color="auto"/>
            </w:tcBorders>
          </w:tcPr>
          <w:p w14:paraId="7BF7265E" w14:textId="77777777" w:rsidR="00517ECB" w:rsidRPr="00A61790" w:rsidRDefault="00517ECB" w:rsidP="00155FA0">
            <w:pPr>
              <w:spacing w:after="0" w:line="240" w:lineRule="auto"/>
              <w:jc w:val="both"/>
              <w:rPr>
                <w:rFonts w:cs="Arial"/>
                <w:szCs w:val="24"/>
              </w:rPr>
            </w:pPr>
            <w:r w:rsidRPr="00A61790">
              <w:rPr>
                <w:rFonts w:cs="Arial"/>
                <w:szCs w:val="24"/>
              </w:rPr>
              <w:t>By: (senior manager)</w:t>
            </w:r>
          </w:p>
        </w:tc>
        <w:tc>
          <w:tcPr>
            <w:tcW w:w="6770" w:type="dxa"/>
            <w:tcBorders>
              <w:top w:val="single" w:sz="4" w:space="0" w:color="auto"/>
              <w:left w:val="single" w:sz="4" w:space="0" w:color="auto"/>
              <w:bottom w:val="single" w:sz="4" w:space="0" w:color="auto"/>
              <w:right w:val="single" w:sz="4" w:space="0" w:color="auto"/>
            </w:tcBorders>
          </w:tcPr>
          <w:p w14:paraId="5387D9EF" w14:textId="77777777" w:rsidR="00517ECB" w:rsidRPr="00A61790" w:rsidRDefault="00A61790" w:rsidP="00155FA0">
            <w:pPr>
              <w:spacing w:after="0" w:line="240" w:lineRule="auto"/>
              <w:jc w:val="both"/>
              <w:rPr>
                <w:rFonts w:cs="Arial"/>
                <w:szCs w:val="24"/>
              </w:rPr>
            </w:pPr>
            <w:r w:rsidRPr="00A61790">
              <w:rPr>
                <w:rFonts w:cs="Arial"/>
                <w:szCs w:val="24"/>
              </w:rPr>
              <w:t>Head of Customer Relationships</w:t>
            </w:r>
          </w:p>
        </w:tc>
      </w:tr>
      <w:tr w:rsidR="00517ECB" w14:paraId="0E1101E4" w14:textId="77777777" w:rsidTr="00A06AE6">
        <w:tc>
          <w:tcPr>
            <w:tcW w:w="2552" w:type="dxa"/>
            <w:tcBorders>
              <w:top w:val="single" w:sz="4" w:space="0" w:color="auto"/>
              <w:left w:val="single" w:sz="4" w:space="0" w:color="auto"/>
              <w:bottom w:val="single" w:sz="4" w:space="0" w:color="auto"/>
              <w:right w:val="single" w:sz="4" w:space="0" w:color="auto"/>
            </w:tcBorders>
          </w:tcPr>
          <w:p w14:paraId="0007CABD" w14:textId="77777777" w:rsidR="00517ECB" w:rsidRPr="00A61790" w:rsidRDefault="00BD7172" w:rsidP="00BD7172">
            <w:pPr>
              <w:spacing w:after="0" w:line="240" w:lineRule="auto"/>
              <w:jc w:val="both"/>
              <w:rPr>
                <w:rFonts w:cs="Arial"/>
                <w:szCs w:val="24"/>
              </w:rPr>
            </w:pPr>
            <w:r w:rsidRPr="00A61790">
              <w:rPr>
                <w:rFonts w:cs="Arial"/>
                <w:szCs w:val="24"/>
              </w:rPr>
              <w:t>Approval Date:</w:t>
            </w:r>
          </w:p>
        </w:tc>
        <w:tc>
          <w:tcPr>
            <w:tcW w:w="6770" w:type="dxa"/>
            <w:tcBorders>
              <w:top w:val="single" w:sz="4" w:space="0" w:color="auto"/>
              <w:left w:val="single" w:sz="4" w:space="0" w:color="auto"/>
              <w:bottom w:val="single" w:sz="4" w:space="0" w:color="auto"/>
              <w:right w:val="single" w:sz="4" w:space="0" w:color="auto"/>
            </w:tcBorders>
          </w:tcPr>
          <w:p w14:paraId="45F9752C" w14:textId="473F89C0" w:rsidR="00517ECB" w:rsidRPr="00A61790" w:rsidRDefault="00D36426" w:rsidP="00750199">
            <w:pPr>
              <w:spacing w:after="0" w:line="240" w:lineRule="auto"/>
              <w:jc w:val="both"/>
              <w:rPr>
                <w:rFonts w:cs="Arial"/>
                <w:szCs w:val="24"/>
              </w:rPr>
            </w:pPr>
            <w:r>
              <w:rPr>
                <w:rFonts w:cs="Arial"/>
                <w:szCs w:val="24"/>
              </w:rPr>
              <w:t xml:space="preserve">July </w:t>
            </w:r>
            <w:r w:rsidR="00750199">
              <w:rPr>
                <w:rFonts w:cs="Arial"/>
                <w:szCs w:val="24"/>
              </w:rPr>
              <w:t>2019</w:t>
            </w:r>
          </w:p>
        </w:tc>
      </w:tr>
      <w:tr w:rsidR="00BD7172" w14:paraId="5F1A1294" w14:textId="77777777" w:rsidTr="00A06AE6">
        <w:tc>
          <w:tcPr>
            <w:tcW w:w="2552" w:type="dxa"/>
            <w:tcBorders>
              <w:top w:val="single" w:sz="4" w:space="0" w:color="auto"/>
              <w:left w:val="single" w:sz="4" w:space="0" w:color="auto"/>
              <w:bottom w:val="single" w:sz="4" w:space="0" w:color="auto"/>
              <w:right w:val="single" w:sz="4" w:space="0" w:color="auto"/>
            </w:tcBorders>
          </w:tcPr>
          <w:p w14:paraId="3D822DF8" w14:textId="77777777" w:rsidR="00BD7172" w:rsidRPr="00A61790" w:rsidRDefault="00BD7172" w:rsidP="00155FA0">
            <w:pPr>
              <w:spacing w:after="0" w:line="240" w:lineRule="auto"/>
              <w:jc w:val="both"/>
              <w:rPr>
                <w:rFonts w:cs="Arial"/>
                <w:szCs w:val="24"/>
              </w:rPr>
            </w:pPr>
            <w:r w:rsidRPr="00A61790">
              <w:rPr>
                <w:rFonts w:cs="Arial"/>
                <w:szCs w:val="24"/>
              </w:rPr>
              <w:t>Review date:</w:t>
            </w:r>
          </w:p>
        </w:tc>
        <w:tc>
          <w:tcPr>
            <w:tcW w:w="6770" w:type="dxa"/>
            <w:tcBorders>
              <w:top w:val="single" w:sz="4" w:space="0" w:color="auto"/>
              <w:left w:val="single" w:sz="4" w:space="0" w:color="auto"/>
              <w:bottom w:val="single" w:sz="4" w:space="0" w:color="auto"/>
              <w:right w:val="single" w:sz="4" w:space="0" w:color="auto"/>
            </w:tcBorders>
          </w:tcPr>
          <w:p w14:paraId="462A4807" w14:textId="7A165487" w:rsidR="00BD7172" w:rsidRPr="00A61790" w:rsidRDefault="00D36426" w:rsidP="00155FA0">
            <w:pPr>
              <w:spacing w:after="0" w:line="240" w:lineRule="auto"/>
              <w:jc w:val="both"/>
              <w:rPr>
                <w:rFonts w:cs="Arial"/>
                <w:szCs w:val="24"/>
              </w:rPr>
            </w:pPr>
            <w:r>
              <w:rPr>
                <w:rFonts w:cs="Arial"/>
                <w:szCs w:val="24"/>
              </w:rPr>
              <w:t>July 2022</w:t>
            </w:r>
          </w:p>
        </w:tc>
      </w:tr>
      <w:tr w:rsidR="00517ECB" w14:paraId="38639EDF" w14:textId="77777777" w:rsidTr="00A06AE6">
        <w:tc>
          <w:tcPr>
            <w:tcW w:w="2552" w:type="dxa"/>
            <w:tcBorders>
              <w:top w:val="single" w:sz="4" w:space="0" w:color="auto"/>
              <w:left w:val="single" w:sz="4" w:space="0" w:color="auto"/>
              <w:bottom w:val="single" w:sz="4" w:space="0" w:color="auto"/>
              <w:right w:val="single" w:sz="4" w:space="0" w:color="auto"/>
            </w:tcBorders>
          </w:tcPr>
          <w:p w14:paraId="06479009" w14:textId="77777777" w:rsidR="00517ECB" w:rsidRPr="00A61790" w:rsidRDefault="00517ECB" w:rsidP="00155FA0">
            <w:pPr>
              <w:spacing w:after="0" w:line="240" w:lineRule="auto"/>
              <w:jc w:val="both"/>
              <w:rPr>
                <w:rFonts w:cs="Arial"/>
                <w:szCs w:val="24"/>
              </w:rPr>
            </w:pPr>
            <w:r w:rsidRPr="00A61790">
              <w:rPr>
                <w:rFonts w:cs="Arial"/>
                <w:szCs w:val="24"/>
              </w:rPr>
              <w:t>Procedure ‘owner’</w:t>
            </w:r>
          </w:p>
        </w:tc>
        <w:tc>
          <w:tcPr>
            <w:tcW w:w="6770" w:type="dxa"/>
            <w:tcBorders>
              <w:top w:val="single" w:sz="4" w:space="0" w:color="auto"/>
              <w:left w:val="single" w:sz="4" w:space="0" w:color="auto"/>
              <w:bottom w:val="single" w:sz="4" w:space="0" w:color="auto"/>
              <w:right w:val="single" w:sz="4" w:space="0" w:color="auto"/>
            </w:tcBorders>
          </w:tcPr>
          <w:p w14:paraId="026D5BB3" w14:textId="7510E76B" w:rsidR="00517ECB" w:rsidRPr="00A61790" w:rsidRDefault="00A61790" w:rsidP="00155FA0">
            <w:pPr>
              <w:spacing w:after="0" w:line="240" w:lineRule="auto"/>
              <w:jc w:val="both"/>
              <w:rPr>
                <w:rFonts w:cs="Arial"/>
                <w:szCs w:val="24"/>
              </w:rPr>
            </w:pPr>
            <w:r w:rsidRPr="00A61790">
              <w:rPr>
                <w:rFonts w:cs="Arial"/>
                <w:szCs w:val="24"/>
              </w:rPr>
              <w:t>Neighbourhood Services Manager</w:t>
            </w:r>
          </w:p>
        </w:tc>
      </w:tr>
    </w:tbl>
    <w:p w14:paraId="19E96B32" w14:textId="77777777" w:rsidR="007A25D1" w:rsidRPr="0045142A" w:rsidRDefault="007A25D1" w:rsidP="00102383">
      <w:pPr>
        <w:spacing w:line="240" w:lineRule="auto"/>
        <w:jc w:val="both"/>
        <w:rPr>
          <w:rFonts w:cs="Arial"/>
        </w:rPr>
      </w:pPr>
    </w:p>
    <w:sectPr w:rsidR="007A25D1" w:rsidRPr="0045142A" w:rsidSect="00517ECB">
      <w:footerReference w:type="default" r:id="rId9"/>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BA58" w14:textId="77777777" w:rsidR="00146A0F" w:rsidRDefault="00146A0F" w:rsidP="00E34D3C">
      <w:pPr>
        <w:spacing w:after="0" w:line="240" w:lineRule="auto"/>
      </w:pPr>
      <w:r>
        <w:separator/>
      </w:r>
    </w:p>
  </w:endnote>
  <w:endnote w:type="continuationSeparator" w:id="0">
    <w:p w14:paraId="6C261C63" w14:textId="77777777" w:rsidR="00146A0F" w:rsidRDefault="00146A0F" w:rsidP="00E3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E654" w14:textId="68B3D5B4" w:rsidR="00BC6B09" w:rsidRDefault="00EE7C2B" w:rsidP="00EE7C2B">
    <w:pPr>
      <w:pStyle w:val="NoSpacing"/>
      <w:rPr>
        <w:sz w:val="18"/>
        <w:szCs w:val="24"/>
      </w:rPr>
    </w:pPr>
    <w:r>
      <w:rPr>
        <w:sz w:val="18"/>
        <w:szCs w:val="24"/>
      </w:rPr>
      <w:t>Housing Panel Guidance Notes July 2019</w:t>
    </w:r>
    <w:r w:rsidR="00BC6B09">
      <w:rPr>
        <w:sz w:val="18"/>
        <w:szCs w:val="24"/>
      </w:rPr>
      <w:tab/>
    </w:r>
    <w:r w:rsidR="00BC6B09">
      <w:rPr>
        <w:sz w:val="18"/>
        <w:szCs w:val="24"/>
      </w:rPr>
      <w:tab/>
    </w:r>
    <w:r w:rsidR="00BC6B09" w:rsidRPr="00F26BDA">
      <w:rPr>
        <w:sz w:val="18"/>
        <w:szCs w:val="24"/>
      </w:rPr>
      <w:tab/>
    </w:r>
    <w:r w:rsidR="00BC6B09" w:rsidRPr="00F26BDA">
      <w:rPr>
        <w:sz w:val="18"/>
        <w:szCs w:val="24"/>
      </w:rPr>
      <w:tab/>
    </w:r>
    <w:r w:rsidR="00BC6B09" w:rsidRPr="00F26BDA">
      <w:rPr>
        <w:sz w:val="18"/>
        <w:szCs w:val="24"/>
      </w:rPr>
      <w:tab/>
    </w:r>
    <w:r w:rsidR="00BC6B09" w:rsidRPr="00F26BDA">
      <w:rPr>
        <w:sz w:val="18"/>
        <w:szCs w:val="24"/>
      </w:rPr>
      <w:tab/>
    </w:r>
    <w:r w:rsidR="00BC6B09" w:rsidRPr="00F26BDA">
      <w:rPr>
        <w:sz w:val="18"/>
        <w:szCs w:val="24"/>
      </w:rPr>
      <w:tab/>
    </w:r>
    <w:r w:rsidR="00BC6B09">
      <w:rPr>
        <w:sz w:val="18"/>
        <w:szCs w:val="24"/>
      </w:rPr>
      <w:tab/>
    </w:r>
    <w:r w:rsidR="00BC6B09" w:rsidRPr="00F26BDA">
      <w:rPr>
        <w:sz w:val="18"/>
        <w:szCs w:val="24"/>
      </w:rPr>
      <w:t xml:space="preserve">Page </w:t>
    </w:r>
    <w:r w:rsidR="00BC6B09" w:rsidRPr="00F26BDA">
      <w:rPr>
        <w:sz w:val="18"/>
        <w:szCs w:val="24"/>
      </w:rPr>
      <w:fldChar w:fldCharType="begin"/>
    </w:r>
    <w:r w:rsidR="00BC6B09" w:rsidRPr="00F26BDA">
      <w:rPr>
        <w:sz w:val="18"/>
        <w:szCs w:val="24"/>
      </w:rPr>
      <w:instrText xml:space="preserve"> PAGE </w:instrText>
    </w:r>
    <w:r w:rsidR="00BC6B09" w:rsidRPr="00F26BDA">
      <w:rPr>
        <w:sz w:val="18"/>
        <w:szCs w:val="24"/>
      </w:rPr>
      <w:fldChar w:fldCharType="separate"/>
    </w:r>
    <w:r w:rsidR="001764CF">
      <w:rPr>
        <w:noProof/>
        <w:sz w:val="18"/>
        <w:szCs w:val="24"/>
      </w:rPr>
      <w:t>6</w:t>
    </w:r>
    <w:r w:rsidR="00BC6B09" w:rsidRPr="00F26BDA">
      <w:rPr>
        <w:sz w:val="18"/>
        <w:szCs w:val="24"/>
      </w:rPr>
      <w:fldChar w:fldCharType="end"/>
    </w:r>
    <w:r w:rsidR="00BC6B09" w:rsidRPr="00F26BDA">
      <w:rPr>
        <w:sz w:val="18"/>
        <w:szCs w:val="24"/>
      </w:rPr>
      <w:t xml:space="preserve"> of </w:t>
    </w:r>
    <w:r w:rsidR="00BC6B09" w:rsidRPr="00F26BDA">
      <w:rPr>
        <w:sz w:val="18"/>
        <w:szCs w:val="24"/>
      </w:rPr>
      <w:fldChar w:fldCharType="begin"/>
    </w:r>
    <w:r w:rsidR="00BC6B09" w:rsidRPr="00F26BDA">
      <w:rPr>
        <w:sz w:val="18"/>
        <w:szCs w:val="24"/>
      </w:rPr>
      <w:instrText xml:space="preserve"> NUMPAGES  </w:instrText>
    </w:r>
    <w:r w:rsidR="00BC6B09" w:rsidRPr="00F26BDA">
      <w:rPr>
        <w:sz w:val="18"/>
        <w:szCs w:val="24"/>
      </w:rPr>
      <w:fldChar w:fldCharType="separate"/>
    </w:r>
    <w:r w:rsidR="001764CF">
      <w:rPr>
        <w:noProof/>
        <w:sz w:val="18"/>
        <w:szCs w:val="24"/>
      </w:rPr>
      <w:t>6</w:t>
    </w:r>
    <w:r w:rsidR="00BC6B09" w:rsidRPr="00F26BDA">
      <w:rPr>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8BF3" w14:textId="77777777" w:rsidR="00146A0F" w:rsidRDefault="00146A0F" w:rsidP="00E34D3C">
      <w:pPr>
        <w:spacing w:after="0" w:line="240" w:lineRule="auto"/>
      </w:pPr>
      <w:r>
        <w:separator/>
      </w:r>
    </w:p>
  </w:footnote>
  <w:footnote w:type="continuationSeparator" w:id="0">
    <w:p w14:paraId="7B5E2562" w14:textId="77777777" w:rsidR="00146A0F" w:rsidRDefault="00146A0F" w:rsidP="00E34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3E2"/>
    <w:multiLevelType w:val="hybridMultilevel"/>
    <w:tmpl w:val="380EB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6A65D1"/>
    <w:multiLevelType w:val="hybridMultilevel"/>
    <w:tmpl w:val="6D9C6C32"/>
    <w:lvl w:ilvl="0" w:tplc="0809000F">
      <w:start w:val="1"/>
      <w:numFmt w:val="decimal"/>
      <w:lvlText w:val="%1."/>
      <w:lvlJc w:val="left"/>
      <w:pPr>
        <w:ind w:left="1998" w:hanging="36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2" w15:restartNumberingAfterBreak="0">
    <w:nsid w:val="1EF541CE"/>
    <w:multiLevelType w:val="hybridMultilevel"/>
    <w:tmpl w:val="4FD2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034C7"/>
    <w:multiLevelType w:val="hybridMultilevel"/>
    <w:tmpl w:val="032A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22A03"/>
    <w:multiLevelType w:val="hybridMultilevel"/>
    <w:tmpl w:val="9792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A0EB7"/>
    <w:multiLevelType w:val="hybridMultilevel"/>
    <w:tmpl w:val="E062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52DBA"/>
    <w:multiLevelType w:val="hybridMultilevel"/>
    <w:tmpl w:val="E71A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D6673"/>
    <w:multiLevelType w:val="hybridMultilevel"/>
    <w:tmpl w:val="2E46B2E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54B13EE5"/>
    <w:multiLevelType w:val="hybridMultilevel"/>
    <w:tmpl w:val="74009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5B4BC6"/>
    <w:multiLevelType w:val="hybridMultilevel"/>
    <w:tmpl w:val="A334AB3A"/>
    <w:lvl w:ilvl="0" w:tplc="2A1E45F8">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2"/>
  </w:num>
  <w:num w:numId="6">
    <w:abstractNumId w:val="4"/>
  </w:num>
  <w:num w:numId="7">
    <w:abstractNumId w:val="5"/>
  </w:num>
  <w:num w:numId="8">
    <w:abstractNumId w:val="1"/>
  </w:num>
  <w:num w:numId="9">
    <w:abstractNumId w:val="9"/>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o" w:val="4424628"/>
    <w:docVar w:name="FullDocNo" w:val="4424628.2"/>
    <w:docVar w:name="VerNo" w:val="2"/>
  </w:docVars>
  <w:rsids>
    <w:rsidRoot w:val="00E34D3C"/>
    <w:rsid w:val="00003D29"/>
    <w:rsid w:val="000113E2"/>
    <w:rsid w:val="00022753"/>
    <w:rsid w:val="000248DD"/>
    <w:rsid w:val="00027AD6"/>
    <w:rsid w:val="00036B9F"/>
    <w:rsid w:val="000437D1"/>
    <w:rsid w:val="000440FA"/>
    <w:rsid w:val="00044DBD"/>
    <w:rsid w:val="000509E6"/>
    <w:rsid w:val="00053777"/>
    <w:rsid w:val="00057D68"/>
    <w:rsid w:val="00060F8B"/>
    <w:rsid w:val="00061119"/>
    <w:rsid w:val="00063E6D"/>
    <w:rsid w:val="000725CD"/>
    <w:rsid w:val="00074C5F"/>
    <w:rsid w:val="00087F88"/>
    <w:rsid w:val="00090FF5"/>
    <w:rsid w:val="000A0046"/>
    <w:rsid w:val="000C4142"/>
    <w:rsid w:val="000C6D3A"/>
    <w:rsid w:val="000D196B"/>
    <w:rsid w:val="000D4D8A"/>
    <w:rsid w:val="000D7695"/>
    <w:rsid w:val="000E6F29"/>
    <w:rsid w:val="000E6FE7"/>
    <w:rsid w:val="000F115A"/>
    <w:rsid w:val="00100F9D"/>
    <w:rsid w:val="00102383"/>
    <w:rsid w:val="0011078F"/>
    <w:rsid w:val="00113C8C"/>
    <w:rsid w:val="0011418C"/>
    <w:rsid w:val="00115C9D"/>
    <w:rsid w:val="00116B18"/>
    <w:rsid w:val="00124C78"/>
    <w:rsid w:val="0012508B"/>
    <w:rsid w:val="0014040B"/>
    <w:rsid w:val="00141806"/>
    <w:rsid w:val="00146A0F"/>
    <w:rsid w:val="00146B50"/>
    <w:rsid w:val="0015310F"/>
    <w:rsid w:val="00155FA0"/>
    <w:rsid w:val="00167153"/>
    <w:rsid w:val="0017021A"/>
    <w:rsid w:val="0017372B"/>
    <w:rsid w:val="001764CF"/>
    <w:rsid w:val="00187D66"/>
    <w:rsid w:val="0019203B"/>
    <w:rsid w:val="00192066"/>
    <w:rsid w:val="0019559E"/>
    <w:rsid w:val="00197B3D"/>
    <w:rsid w:val="001A0A3F"/>
    <w:rsid w:val="001A4C9A"/>
    <w:rsid w:val="001A5A83"/>
    <w:rsid w:val="001B3730"/>
    <w:rsid w:val="001B4919"/>
    <w:rsid w:val="001B601A"/>
    <w:rsid w:val="001B626B"/>
    <w:rsid w:val="001C05B0"/>
    <w:rsid w:val="001D5D5C"/>
    <w:rsid w:val="001F6230"/>
    <w:rsid w:val="001F79C8"/>
    <w:rsid w:val="00207458"/>
    <w:rsid w:val="00223F26"/>
    <w:rsid w:val="00227FA9"/>
    <w:rsid w:val="0023404D"/>
    <w:rsid w:val="0023632F"/>
    <w:rsid w:val="00237552"/>
    <w:rsid w:val="002377FC"/>
    <w:rsid w:val="00241EE6"/>
    <w:rsid w:val="00245EBF"/>
    <w:rsid w:val="00246380"/>
    <w:rsid w:val="0024663C"/>
    <w:rsid w:val="00254A78"/>
    <w:rsid w:val="00266D34"/>
    <w:rsid w:val="00280FDB"/>
    <w:rsid w:val="00282551"/>
    <w:rsid w:val="00287CAF"/>
    <w:rsid w:val="00295639"/>
    <w:rsid w:val="002962E6"/>
    <w:rsid w:val="002A23BC"/>
    <w:rsid w:val="002C005B"/>
    <w:rsid w:val="002C149E"/>
    <w:rsid w:val="002C7240"/>
    <w:rsid w:val="002D5020"/>
    <w:rsid w:val="002E41D7"/>
    <w:rsid w:val="002F2E39"/>
    <w:rsid w:val="003006FA"/>
    <w:rsid w:val="00302358"/>
    <w:rsid w:val="003049F0"/>
    <w:rsid w:val="003129A4"/>
    <w:rsid w:val="00322EE5"/>
    <w:rsid w:val="00326C00"/>
    <w:rsid w:val="00327BA4"/>
    <w:rsid w:val="00330226"/>
    <w:rsid w:val="00346DB5"/>
    <w:rsid w:val="00354438"/>
    <w:rsid w:val="003564F5"/>
    <w:rsid w:val="00360E1A"/>
    <w:rsid w:val="00361FC9"/>
    <w:rsid w:val="003620B4"/>
    <w:rsid w:val="00375476"/>
    <w:rsid w:val="00381C0B"/>
    <w:rsid w:val="0038301A"/>
    <w:rsid w:val="0038333A"/>
    <w:rsid w:val="003902A7"/>
    <w:rsid w:val="00394092"/>
    <w:rsid w:val="00394CB7"/>
    <w:rsid w:val="0039614B"/>
    <w:rsid w:val="003B729E"/>
    <w:rsid w:val="003C2A78"/>
    <w:rsid w:val="003C43EA"/>
    <w:rsid w:val="003C5F4B"/>
    <w:rsid w:val="003C6955"/>
    <w:rsid w:val="003C75D6"/>
    <w:rsid w:val="003D3CC7"/>
    <w:rsid w:val="003D4ECE"/>
    <w:rsid w:val="003D7C40"/>
    <w:rsid w:val="003E0867"/>
    <w:rsid w:val="003E319E"/>
    <w:rsid w:val="003E6422"/>
    <w:rsid w:val="003F5986"/>
    <w:rsid w:val="003F7058"/>
    <w:rsid w:val="0040778B"/>
    <w:rsid w:val="00412CED"/>
    <w:rsid w:val="00415D52"/>
    <w:rsid w:val="00425969"/>
    <w:rsid w:val="00433194"/>
    <w:rsid w:val="004337F1"/>
    <w:rsid w:val="0043659B"/>
    <w:rsid w:val="00443553"/>
    <w:rsid w:val="004465D2"/>
    <w:rsid w:val="00446DE2"/>
    <w:rsid w:val="0045142A"/>
    <w:rsid w:val="004609B2"/>
    <w:rsid w:val="0046240A"/>
    <w:rsid w:val="00470106"/>
    <w:rsid w:val="00470657"/>
    <w:rsid w:val="00470D72"/>
    <w:rsid w:val="004717E1"/>
    <w:rsid w:val="00477470"/>
    <w:rsid w:val="004818D7"/>
    <w:rsid w:val="00493C25"/>
    <w:rsid w:val="004949A4"/>
    <w:rsid w:val="004A6092"/>
    <w:rsid w:val="004B2BF1"/>
    <w:rsid w:val="004B7433"/>
    <w:rsid w:val="004D45AB"/>
    <w:rsid w:val="004D512B"/>
    <w:rsid w:val="004D5C31"/>
    <w:rsid w:val="004D7EE3"/>
    <w:rsid w:val="004E0330"/>
    <w:rsid w:val="004E15FD"/>
    <w:rsid w:val="004E1BE8"/>
    <w:rsid w:val="004E40C1"/>
    <w:rsid w:val="004E4D3D"/>
    <w:rsid w:val="004E7E73"/>
    <w:rsid w:val="00513B8E"/>
    <w:rsid w:val="00514E3D"/>
    <w:rsid w:val="00517ECB"/>
    <w:rsid w:val="005215C9"/>
    <w:rsid w:val="00523A9B"/>
    <w:rsid w:val="00523F4B"/>
    <w:rsid w:val="005273E5"/>
    <w:rsid w:val="00536EA0"/>
    <w:rsid w:val="00545778"/>
    <w:rsid w:val="00547254"/>
    <w:rsid w:val="005522AE"/>
    <w:rsid w:val="00560A6E"/>
    <w:rsid w:val="005635A6"/>
    <w:rsid w:val="005701F9"/>
    <w:rsid w:val="005849F1"/>
    <w:rsid w:val="005865E6"/>
    <w:rsid w:val="00595C85"/>
    <w:rsid w:val="005A2172"/>
    <w:rsid w:val="005A487A"/>
    <w:rsid w:val="005A528F"/>
    <w:rsid w:val="005B3B07"/>
    <w:rsid w:val="005B401E"/>
    <w:rsid w:val="005B5AE3"/>
    <w:rsid w:val="005B6960"/>
    <w:rsid w:val="005C21E1"/>
    <w:rsid w:val="005C58EA"/>
    <w:rsid w:val="005C6793"/>
    <w:rsid w:val="005D0828"/>
    <w:rsid w:val="005E4641"/>
    <w:rsid w:val="005F72C5"/>
    <w:rsid w:val="00603CDF"/>
    <w:rsid w:val="00603E89"/>
    <w:rsid w:val="0061775C"/>
    <w:rsid w:val="00621F17"/>
    <w:rsid w:val="006244B6"/>
    <w:rsid w:val="006251A3"/>
    <w:rsid w:val="00643B26"/>
    <w:rsid w:val="006469D2"/>
    <w:rsid w:val="006508E8"/>
    <w:rsid w:val="00656652"/>
    <w:rsid w:val="0066460D"/>
    <w:rsid w:val="006663A6"/>
    <w:rsid w:val="00675D62"/>
    <w:rsid w:val="00681363"/>
    <w:rsid w:val="00683E9F"/>
    <w:rsid w:val="00696210"/>
    <w:rsid w:val="006A2B3E"/>
    <w:rsid w:val="006A6542"/>
    <w:rsid w:val="006B2043"/>
    <w:rsid w:val="006C65E2"/>
    <w:rsid w:val="006D43B7"/>
    <w:rsid w:val="00704938"/>
    <w:rsid w:val="00724EE3"/>
    <w:rsid w:val="00726D0C"/>
    <w:rsid w:val="007348C9"/>
    <w:rsid w:val="00736B0C"/>
    <w:rsid w:val="00737124"/>
    <w:rsid w:val="0074524C"/>
    <w:rsid w:val="00747576"/>
    <w:rsid w:val="00750199"/>
    <w:rsid w:val="007525FF"/>
    <w:rsid w:val="00757B92"/>
    <w:rsid w:val="00763A42"/>
    <w:rsid w:val="007646AA"/>
    <w:rsid w:val="00770457"/>
    <w:rsid w:val="007730BF"/>
    <w:rsid w:val="00777029"/>
    <w:rsid w:val="0078126D"/>
    <w:rsid w:val="007818DF"/>
    <w:rsid w:val="00781ABE"/>
    <w:rsid w:val="00782401"/>
    <w:rsid w:val="007850A9"/>
    <w:rsid w:val="00797385"/>
    <w:rsid w:val="007A161D"/>
    <w:rsid w:val="007A25D1"/>
    <w:rsid w:val="007B3C89"/>
    <w:rsid w:val="007C1EF0"/>
    <w:rsid w:val="007C3FE3"/>
    <w:rsid w:val="007C7E6A"/>
    <w:rsid w:val="007D0AC8"/>
    <w:rsid w:val="007D3EF0"/>
    <w:rsid w:val="007F0C65"/>
    <w:rsid w:val="0080548E"/>
    <w:rsid w:val="00810E80"/>
    <w:rsid w:val="00825008"/>
    <w:rsid w:val="00827E95"/>
    <w:rsid w:val="00834171"/>
    <w:rsid w:val="008347D8"/>
    <w:rsid w:val="00843775"/>
    <w:rsid w:val="008466D0"/>
    <w:rsid w:val="00851698"/>
    <w:rsid w:val="00852A35"/>
    <w:rsid w:val="00853064"/>
    <w:rsid w:val="00863426"/>
    <w:rsid w:val="00867FEF"/>
    <w:rsid w:val="0087318E"/>
    <w:rsid w:val="008751BA"/>
    <w:rsid w:val="00883B5D"/>
    <w:rsid w:val="0088422E"/>
    <w:rsid w:val="00892D82"/>
    <w:rsid w:val="0089536F"/>
    <w:rsid w:val="008A2105"/>
    <w:rsid w:val="008A6A6C"/>
    <w:rsid w:val="008B049D"/>
    <w:rsid w:val="008B212F"/>
    <w:rsid w:val="008B466F"/>
    <w:rsid w:val="008B5366"/>
    <w:rsid w:val="008B6108"/>
    <w:rsid w:val="008C75C2"/>
    <w:rsid w:val="008D049C"/>
    <w:rsid w:val="008E4106"/>
    <w:rsid w:val="008E6A1C"/>
    <w:rsid w:val="008F0DCE"/>
    <w:rsid w:val="008F5C9E"/>
    <w:rsid w:val="00906733"/>
    <w:rsid w:val="00917648"/>
    <w:rsid w:val="0091770E"/>
    <w:rsid w:val="0092082D"/>
    <w:rsid w:val="009273F6"/>
    <w:rsid w:val="00927FB9"/>
    <w:rsid w:val="0093188C"/>
    <w:rsid w:val="009372DE"/>
    <w:rsid w:val="00943377"/>
    <w:rsid w:val="009473F9"/>
    <w:rsid w:val="00955026"/>
    <w:rsid w:val="00962D0F"/>
    <w:rsid w:val="00973B19"/>
    <w:rsid w:val="00980F4C"/>
    <w:rsid w:val="0098515D"/>
    <w:rsid w:val="0099343C"/>
    <w:rsid w:val="00996775"/>
    <w:rsid w:val="009A070D"/>
    <w:rsid w:val="009A09D8"/>
    <w:rsid w:val="009B2DAD"/>
    <w:rsid w:val="009C6293"/>
    <w:rsid w:val="009C7607"/>
    <w:rsid w:val="009E05D1"/>
    <w:rsid w:val="009E4806"/>
    <w:rsid w:val="009E628E"/>
    <w:rsid w:val="009F01F4"/>
    <w:rsid w:val="009F7B58"/>
    <w:rsid w:val="00A06AE6"/>
    <w:rsid w:val="00A071F6"/>
    <w:rsid w:val="00A10912"/>
    <w:rsid w:val="00A208C1"/>
    <w:rsid w:val="00A26346"/>
    <w:rsid w:val="00A36D22"/>
    <w:rsid w:val="00A373A8"/>
    <w:rsid w:val="00A37FD3"/>
    <w:rsid w:val="00A412AA"/>
    <w:rsid w:val="00A42148"/>
    <w:rsid w:val="00A4328E"/>
    <w:rsid w:val="00A440AC"/>
    <w:rsid w:val="00A51EB3"/>
    <w:rsid w:val="00A5375C"/>
    <w:rsid w:val="00A57140"/>
    <w:rsid w:val="00A61790"/>
    <w:rsid w:val="00A640B5"/>
    <w:rsid w:val="00A6477D"/>
    <w:rsid w:val="00A87540"/>
    <w:rsid w:val="00A93623"/>
    <w:rsid w:val="00A977F5"/>
    <w:rsid w:val="00AA0B41"/>
    <w:rsid w:val="00AB356A"/>
    <w:rsid w:val="00AB63F0"/>
    <w:rsid w:val="00AC4693"/>
    <w:rsid w:val="00AD0022"/>
    <w:rsid w:val="00AD0666"/>
    <w:rsid w:val="00AD3DB1"/>
    <w:rsid w:val="00AD6893"/>
    <w:rsid w:val="00AE2E57"/>
    <w:rsid w:val="00AF0296"/>
    <w:rsid w:val="00AF22C1"/>
    <w:rsid w:val="00B046E9"/>
    <w:rsid w:val="00B074F6"/>
    <w:rsid w:val="00B1065E"/>
    <w:rsid w:val="00B20167"/>
    <w:rsid w:val="00B2222C"/>
    <w:rsid w:val="00B410E8"/>
    <w:rsid w:val="00B418A3"/>
    <w:rsid w:val="00B46EB1"/>
    <w:rsid w:val="00B53C18"/>
    <w:rsid w:val="00B56BCA"/>
    <w:rsid w:val="00B61AE5"/>
    <w:rsid w:val="00B6372A"/>
    <w:rsid w:val="00B7718D"/>
    <w:rsid w:val="00B90DAD"/>
    <w:rsid w:val="00B949DF"/>
    <w:rsid w:val="00B971A0"/>
    <w:rsid w:val="00BA5752"/>
    <w:rsid w:val="00BA5A59"/>
    <w:rsid w:val="00BA6030"/>
    <w:rsid w:val="00BB061C"/>
    <w:rsid w:val="00BB1FA5"/>
    <w:rsid w:val="00BB3EBF"/>
    <w:rsid w:val="00BB72E3"/>
    <w:rsid w:val="00BC6B09"/>
    <w:rsid w:val="00BD7172"/>
    <w:rsid w:val="00BE19F1"/>
    <w:rsid w:val="00BE6ED4"/>
    <w:rsid w:val="00BF149F"/>
    <w:rsid w:val="00C07739"/>
    <w:rsid w:val="00C103C4"/>
    <w:rsid w:val="00C363F3"/>
    <w:rsid w:val="00C37FD9"/>
    <w:rsid w:val="00C41C32"/>
    <w:rsid w:val="00C45DA2"/>
    <w:rsid w:val="00C572E6"/>
    <w:rsid w:val="00C57F89"/>
    <w:rsid w:val="00C6262F"/>
    <w:rsid w:val="00C63261"/>
    <w:rsid w:val="00C655DE"/>
    <w:rsid w:val="00C7543A"/>
    <w:rsid w:val="00C81A93"/>
    <w:rsid w:val="00CA0BDA"/>
    <w:rsid w:val="00CB4B92"/>
    <w:rsid w:val="00CB73DC"/>
    <w:rsid w:val="00CD04AD"/>
    <w:rsid w:val="00CD7D91"/>
    <w:rsid w:val="00CE4338"/>
    <w:rsid w:val="00CF49AE"/>
    <w:rsid w:val="00D067FD"/>
    <w:rsid w:val="00D27790"/>
    <w:rsid w:val="00D27F9C"/>
    <w:rsid w:val="00D34594"/>
    <w:rsid w:val="00D36426"/>
    <w:rsid w:val="00D40358"/>
    <w:rsid w:val="00D45A4E"/>
    <w:rsid w:val="00D503B5"/>
    <w:rsid w:val="00D54FE1"/>
    <w:rsid w:val="00D5795C"/>
    <w:rsid w:val="00D760E0"/>
    <w:rsid w:val="00D9577F"/>
    <w:rsid w:val="00DA026C"/>
    <w:rsid w:val="00DA093C"/>
    <w:rsid w:val="00DC0B75"/>
    <w:rsid w:val="00DC4400"/>
    <w:rsid w:val="00DC556E"/>
    <w:rsid w:val="00DC74D7"/>
    <w:rsid w:val="00DD2D72"/>
    <w:rsid w:val="00DE0CBF"/>
    <w:rsid w:val="00DE3C01"/>
    <w:rsid w:val="00DE54B4"/>
    <w:rsid w:val="00DE67A5"/>
    <w:rsid w:val="00DE7F4D"/>
    <w:rsid w:val="00E034D4"/>
    <w:rsid w:val="00E038D6"/>
    <w:rsid w:val="00E07D6F"/>
    <w:rsid w:val="00E13476"/>
    <w:rsid w:val="00E160D0"/>
    <w:rsid w:val="00E21B4E"/>
    <w:rsid w:val="00E26B91"/>
    <w:rsid w:val="00E34917"/>
    <w:rsid w:val="00E34D3C"/>
    <w:rsid w:val="00E40181"/>
    <w:rsid w:val="00E46FC4"/>
    <w:rsid w:val="00E5678D"/>
    <w:rsid w:val="00E61D1C"/>
    <w:rsid w:val="00E7276C"/>
    <w:rsid w:val="00E76E16"/>
    <w:rsid w:val="00E776F8"/>
    <w:rsid w:val="00E82403"/>
    <w:rsid w:val="00E92E4E"/>
    <w:rsid w:val="00EB1572"/>
    <w:rsid w:val="00EB546A"/>
    <w:rsid w:val="00EC0071"/>
    <w:rsid w:val="00EC1BDE"/>
    <w:rsid w:val="00ED4A4B"/>
    <w:rsid w:val="00ED65F7"/>
    <w:rsid w:val="00EE63C8"/>
    <w:rsid w:val="00EE658D"/>
    <w:rsid w:val="00EE6EB8"/>
    <w:rsid w:val="00EE72BE"/>
    <w:rsid w:val="00EE7C2B"/>
    <w:rsid w:val="00EF43ED"/>
    <w:rsid w:val="00F0186C"/>
    <w:rsid w:val="00F0431B"/>
    <w:rsid w:val="00F05439"/>
    <w:rsid w:val="00F230E0"/>
    <w:rsid w:val="00F26BDA"/>
    <w:rsid w:val="00F27219"/>
    <w:rsid w:val="00F45C8F"/>
    <w:rsid w:val="00F77056"/>
    <w:rsid w:val="00F823B7"/>
    <w:rsid w:val="00F841ED"/>
    <w:rsid w:val="00F85E0D"/>
    <w:rsid w:val="00F86093"/>
    <w:rsid w:val="00F8655F"/>
    <w:rsid w:val="00F95721"/>
    <w:rsid w:val="00FA10A1"/>
    <w:rsid w:val="00FA3B48"/>
    <w:rsid w:val="00FD2C28"/>
    <w:rsid w:val="00FD2F1B"/>
    <w:rsid w:val="00FD6DF5"/>
    <w:rsid w:val="00FE795C"/>
    <w:rsid w:val="00FF531C"/>
    <w:rsid w:val="00FF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53F43"/>
  <w15:docId w15:val="{08B9B743-C6C1-4F2D-9AEC-1C605DBF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7648"/>
    <w:pPr>
      <w:spacing w:after="200" w:line="276" w:lineRule="auto"/>
    </w:pPr>
    <w:rPr>
      <w:sz w:val="22"/>
      <w:szCs w:val="22"/>
      <w:lang w:eastAsia="en-US"/>
    </w:rPr>
  </w:style>
  <w:style w:type="paragraph" w:styleId="Heading2">
    <w:name w:val="heading 2"/>
    <w:basedOn w:val="Normal"/>
    <w:next w:val="Normal"/>
    <w:link w:val="Heading2Char"/>
    <w:qFormat/>
    <w:rsid w:val="00B971A0"/>
    <w:pPr>
      <w:keepNext/>
      <w:spacing w:after="0" w:line="240" w:lineRule="auto"/>
      <w:outlineLvl w:val="1"/>
    </w:pPr>
    <w:rPr>
      <w:rFonts w:ascii="Times New Roman" w:eastAsia="Times New Roman" w:hAnsi="Times New Roman"/>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D3C"/>
  </w:style>
  <w:style w:type="paragraph" w:styleId="Footer">
    <w:name w:val="footer"/>
    <w:basedOn w:val="Normal"/>
    <w:link w:val="FooterChar"/>
    <w:uiPriority w:val="99"/>
    <w:unhideWhenUsed/>
    <w:rsid w:val="00E34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D3C"/>
  </w:style>
  <w:style w:type="paragraph" w:styleId="ListParagraph">
    <w:name w:val="List Paragraph"/>
    <w:basedOn w:val="Normal"/>
    <w:uiPriority w:val="34"/>
    <w:qFormat/>
    <w:rsid w:val="000D196B"/>
    <w:pPr>
      <w:ind w:left="720"/>
      <w:contextualSpacing/>
    </w:pPr>
  </w:style>
  <w:style w:type="paragraph" w:styleId="BalloonText">
    <w:name w:val="Balloon Text"/>
    <w:basedOn w:val="Normal"/>
    <w:link w:val="BalloonTextChar"/>
    <w:uiPriority w:val="99"/>
    <w:semiHidden/>
    <w:unhideWhenUsed/>
    <w:rsid w:val="00C5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E6"/>
    <w:rPr>
      <w:rFonts w:ascii="Tahoma" w:hAnsi="Tahoma" w:cs="Tahoma"/>
      <w:sz w:val="16"/>
      <w:szCs w:val="16"/>
    </w:rPr>
  </w:style>
  <w:style w:type="paragraph" w:customStyle="1" w:styleId="RECOMMENDATIONS">
    <w:name w:val="RECOMMENDATIONS"/>
    <w:basedOn w:val="Normal"/>
    <w:rsid w:val="00361FC9"/>
    <w:pPr>
      <w:spacing w:after="0" w:line="240" w:lineRule="auto"/>
    </w:pPr>
    <w:rPr>
      <w:rFonts w:eastAsia="Times New Roman" w:cs="Arial"/>
      <w:sz w:val="24"/>
      <w:szCs w:val="20"/>
    </w:rPr>
  </w:style>
  <w:style w:type="character" w:customStyle="1" w:styleId="Heading2Char">
    <w:name w:val="Heading 2 Char"/>
    <w:basedOn w:val="DefaultParagraphFont"/>
    <w:link w:val="Heading2"/>
    <w:rsid w:val="00B971A0"/>
    <w:rPr>
      <w:rFonts w:ascii="Times New Roman" w:eastAsia="Times New Roman" w:hAnsi="Times New Roman" w:cs="Times New Roman"/>
      <w:szCs w:val="20"/>
      <w:u w:val="single"/>
      <w:lang w:eastAsia="en-GB"/>
    </w:rPr>
  </w:style>
  <w:style w:type="paragraph" w:styleId="BodyTextIndent3">
    <w:name w:val="Body Text Indent 3"/>
    <w:basedOn w:val="Normal"/>
    <w:link w:val="BodyTextIndent3Char"/>
    <w:rsid w:val="00B971A0"/>
    <w:pPr>
      <w:spacing w:after="120" w:line="240" w:lineRule="auto"/>
      <w:ind w:left="283"/>
    </w:pPr>
    <w:rPr>
      <w:rFonts w:ascii="Times New Roman" w:eastAsia="Times New Roman" w:hAnsi="Times New Roman"/>
      <w:sz w:val="16"/>
      <w:szCs w:val="16"/>
      <w:lang w:eastAsia="en-GB"/>
    </w:rPr>
  </w:style>
  <w:style w:type="character" w:customStyle="1" w:styleId="BodyTextIndent3Char">
    <w:name w:val="Body Text Indent 3 Char"/>
    <w:basedOn w:val="DefaultParagraphFont"/>
    <w:link w:val="BodyTextIndent3"/>
    <w:rsid w:val="00B971A0"/>
    <w:rPr>
      <w:rFonts w:ascii="Times New Roman" w:eastAsia="Times New Roman" w:hAnsi="Times New Roman" w:cs="Times New Roman"/>
      <w:sz w:val="16"/>
      <w:szCs w:val="16"/>
      <w:lang w:eastAsia="en-GB"/>
    </w:rPr>
  </w:style>
  <w:style w:type="paragraph" w:styleId="BodyText">
    <w:name w:val="Body Text"/>
    <w:basedOn w:val="Normal"/>
    <w:link w:val="BodyTextChar"/>
    <w:rsid w:val="00B971A0"/>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B971A0"/>
    <w:rPr>
      <w:rFonts w:ascii="Times New Roman" w:eastAsia="Times New Roman" w:hAnsi="Times New Roman" w:cs="Times New Roman"/>
      <w:sz w:val="24"/>
      <w:szCs w:val="24"/>
      <w:lang w:val="en-US"/>
    </w:rPr>
  </w:style>
  <w:style w:type="paragraph" w:customStyle="1" w:styleId="p1">
    <w:name w:val="p1"/>
    <w:basedOn w:val="Normal"/>
    <w:rsid w:val="008F5C9E"/>
    <w:pPr>
      <w:tabs>
        <w:tab w:val="left" w:pos="720"/>
      </w:tabs>
      <w:spacing w:after="0" w:line="240" w:lineRule="auto"/>
    </w:pPr>
    <w:rPr>
      <w:rFonts w:ascii="Times" w:eastAsia="Times New Roman" w:hAnsi="Times"/>
      <w:sz w:val="24"/>
      <w:szCs w:val="20"/>
      <w:lang w:eastAsia="en-GB"/>
    </w:rPr>
  </w:style>
  <w:style w:type="table" w:styleId="TableGrid">
    <w:name w:val="Table Grid"/>
    <w:basedOn w:val="TableNormal"/>
    <w:uiPriority w:val="59"/>
    <w:rsid w:val="008F5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20B4"/>
    <w:rPr>
      <w:sz w:val="22"/>
      <w:szCs w:val="22"/>
      <w:lang w:eastAsia="en-US"/>
    </w:rPr>
  </w:style>
  <w:style w:type="character" w:styleId="CommentReference">
    <w:name w:val="annotation reference"/>
    <w:basedOn w:val="DefaultParagraphFont"/>
    <w:uiPriority w:val="99"/>
    <w:semiHidden/>
    <w:unhideWhenUsed/>
    <w:rsid w:val="00F05439"/>
    <w:rPr>
      <w:sz w:val="16"/>
      <w:szCs w:val="16"/>
    </w:rPr>
  </w:style>
  <w:style w:type="paragraph" w:styleId="CommentText">
    <w:name w:val="annotation text"/>
    <w:basedOn w:val="Normal"/>
    <w:link w:val="CommentTextChar"/>
    <w:uiPriority w:val="99"/>
    <w:semiHidden/>
    <w:unhideWhenUsed/>
    <w:rsid w:val="00F05439"/>
    <w:rPr>
      <w:sz w:val="20"/>
      <w:szCs w:val="20"/>
    </w:rPr>
  </w:style>
  <w:style w:type="character" w:customStyle="1" w:styleId="CommentTextChar">
    <w:name w:val="Comment Text Char"/>
    <w:basedOn w:val="DefaultParagraphFont"/>
    <w:link w:val="CommentText"/>
    <w:uiPriority w:val="99"/>
    <w:semiHidden/>
    <w:rsid w:val="00F05439"/>
    <w:rPr>
      <w:lang w:eastAsia="en-US"/>
    </w:rPr>
  </w:style>
  <w:style w:type="paragraph" w:styleId="CommentSubject">
    <w:name w:val="annotation subject"/>
    <w:basedOn w:val="CommentText"/>
    <w:next w:val="CommentText"/>
    <w:link w:val="CommentSubjectChar"/>
    <w:uiPriority w:val="99"/>
    <w:semiHidden/>
    <w:unhideWhenUsed/>
    <w:rsid w:val="00F05439"/>
    <w:rPr>
      <w:b/>
      <w:bCs/>
    </w:rPr>
  </w:style>
  <w:style w:type="character" w:customStyle="1" w:styleId="CommentSubjectChar">
    <w:name w:val="Comment Subject Char"/>
    <w:basedOn w:val="CommentTextChar"/>
    <w:link w:val="CommentSubject"/>
    <w:uiPriority w:val="99"/>
    <w:semiHidden/>
    <w:rsid w:val="00F05439"/>
    <w:rPr>
      <w:b/>
      <w:bCs/>
      <w:lang w:eastAsia="en-US"/>
    </w:rPr>
  </w:style>
  <w:style w:type="paragraph" w:customStyle="1" w:styleId="Default">
    <w:name w:val="Default"/>
    <w:rsid w:val="00E07D6F"/>
    <w:pPr>
      <w:autoSpaceDE w:val="0"/>
      <w:autoSpaceDN w:val="0"/>
      <w:adjustRightInd w:val="0"/>
    </w:pPr>
    <w:rPr>
      <w:rFonts w:eastAsia="Times New Roman" w:cs="Arial"/>
      <w:color w:val="000000"/>
      <w:sz w:val="24"/>
      <w:szCs w:val="24"/>
    </w:rPr>
  </w:style>
  <w:style w:type="table" w:customStyle="1" w:styleId="TableGrid1">
    <w:name w:val="Table Grid1"/>
    <w:basedOn w:val="TableNormal"/>
    <w:next w:val="TableGrid"/>
    <w:uiPriority w:val="59"/>
    <w:rsid w:val="0092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1EF0"/>
    <w:pPr>
      <w:widowControl w:val="0"/>
      <w:autoSpaceDE w:val="0"/>
      <w:autoSpaceDN w:val="0"/>
      <w:spacing w:after="0" w:line="240" w:lineRule="auto"/>
      <w:ind w:left="107"/>
    </w:pPr>
    <w:rPr>
      <w:rFonts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F2F6-3104-4272-8BD9-CD3A16F6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Watford Community Housing Trust</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margaret.swift</dc:creator>
  <cp:lastModifiedBy>Izzy Farrer</cp:lastModifiedBy>
  <cp:revision>3</cp:revision>
  <cp:lastPrinted>2020-07-14T14:20:00Z</cp:lastPrinted>
  <dcterms:created xsi:type="dcterms:W3CDTF">2020-08-25T08:38:00Z</dcterms:created>
  <dcterms:modified xsi:type="dcterms:W3CDTF">2020-08-25T08:45:00Z</dcterms:modified>
</cp:coreProperties>
</file>